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025645" w14:paraId="09830C69" w14:textId="77777777" w:rsidTr="00025645">
        <w:trPr>
          <w:trHeight w:val="1559"/>
        </w:trPr>
        <w:tc>
          <w:tcPr>
            <w:tcW w:w="3407" w:type="dxa"/>
            <w:tcBorders>
              <w:top w:val="nil"/>
              <w:left w:val="nil"/>
              <w:bottom w:val="nil"/>
              <w:right w:val="nil"/>
            </w:tcBorders>
            <w:hideMark/>
          </w:tcPr>
          <w:p w14:paraId="300574AF" w14:textId="56C5AAB1" w:rsidR="00025645" w:rsidRDefault="00025645">
            <w:pPr>
              <w:rPr>
                <w:rFonts w:ascii="Arial" w:hAnsi="Arial" w:cs="Arial"/>
                <w:sz w:val="20"/>
                <w:szCs w:val="20"/>
              </w:rPr>
            </w:pPr>
            <w:r>
              <w:rPr>
                <w:noProof/>
              </w:rPr>
              <w:drawing>
                <wp:anchor distT="0" distB="0" distL="114300" distR="114300" simplePos="0" relativeHeight="251659264" behindDoc="0" locked="0" layoutInCell="1" allowOverlap="1" wp14:anchorId="3D458B80" wp14:editId="351DE422">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  </w:t>
            </w:r>
          </w:p>
        </w:tc>
        <w:tc>
          <w:tcPr>
            <w:tcW w:w="6510" w:type="dxa"/>
            <w:tcBorders>
              <w:top w:val="nil"/>
              <w:left w:val="nil"/>
              <w:bottom w:val="nil"/>
              <w:right w:val="nil"/>
            </w:tcBorders>
            <w:vAlign w:val="center"/>
            <w:hideMark/>
          </w:tcPr>
          <w:p w14:paraId="5C5A267A" w14:textId="77777777" w:rsidR="00025645" w:rsidRDefault="00025645">
            <w:pPr>
              <w:jc w:val="center"/>
              <w:rPr>
                <w:rFonts w:ascii="Arial" w:hAnsi="Arial" w:cs="Arial"/>
                <w:b/>
                <w:bCs/>
                <w:sz w:val="20"/>
                <w:szCs w:val="20"/>
                <w:lang w:val="en-US"/>
              </w:rPr>
            </w:pPr>
            <w:r>
              <w:rPr>
                <w:rFonts w:ascii="Arial" w:hAnsi="Arial" w:cs="Arial"/>
                <w:b/>
                <w:bCs/>
                <w:sz w:val="32"/>
                <w:szCs w:val="32"/>
                <w:lang w:val="en-US"/>
              </w:rPr>
              <w:t>Course Syllabus</w:t>
            </w:r>
          </w:p>
        </w:tc>
      </w:tr>
    </w:tbl>
    <w:p w14:paraId="40F99770" w14:textId="423372F6" w:rsidR="00D55A4E" w:rsidRPr="00454DEA" w:rsidRDefault="00D55A4E">
      <w:pPr>
        <w:rPr>
          <w:rFonts w:cstheme="minorHAnsi"/>
        </w:rPr>
      </w:pPr>
    </w:p>
    <w:p w14:paraId="6CCB086E" w14:textId="5CB951DC" w:rsidR="00D55A4E" w:rsidRPr="00025645" w:rsidRDefault="00D55A4E" w:rsidP="00025645">
      <w:pPr>
        <w:pStyle w:val="a3"/>
        <w:numPr>
          <w:ilvl w:val="0"/>
          <w:numId w:val="1"/>
        </w:numPr>
        <w:spacing w:line="360" w:lineRule="auto"/>
        <w:rPr>
          <w:rFonts w:ascii="Arial" w:hAnsi="Arial" w:cs="Arial"/>
          <w:b/>
          <w:bCs/>
          <w:sz w:val="20"/>
          <w:szCs w:val="20"/>
        </w:rPr>
      </w:pPr>
      <w:r w:rsidRPr="00025645">
        <w:rPr>
          <w:rFonts w:ascii="Arial" w:hAnsi="Arial" w:cs="Arial"/>
          <w:b/>
          <w:bCs/>
          <w:sz w:val="20"/>
          <w:szCs w:val="20"/>
          <w:lang w:val="en-US"/>
        </w:rPr>
        <w:t>Course Title</w:t>
      </w:r>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AA56E2" w14:paraId="66475ED8" w14:textId="77777777" w:rsidTr="00B5000C">
        <w:trPr>
          <w:trHeight w:val="533"/>
        </w:trPr>
        <w:tc>
          <w:tcPr>
            <w:tcW w:w="9634" w:type="dxa"/>
          </w:tcPr>
          <w:p w14:paraId="195B7FED" w14:textId="7B3A169B" w:rsidR="00257892" w:rsidRPr="00025645" w:rsidRDefault="00B5000C" w:rsidP="00D55A4E">
            <w:pPr>
              <w:pStyle w:val="a3"/>
              <w:ind w:left="0"/>
              <w:rPr>
                <w:rFonts w:ascii="Arial" w:hAnsi="Arial" w:cs="Arial"/>
                <w:sz w:val="20"/>
                <w:szCs w:val="20"/>
                <w:lang w:val="en-US"/>
              </w:rPr>
            </w:pPr>
            <w:bookmarkStart w:id="0" w:name="_Hlk101769815"/>
            <w:r w:rsidRPr="00025645">
              <w:rPr>
                <w:rFonts w:ascii="Arial" w:hAnsi="Arial" w:cs="Arial"/>
                <w:sz w:val="20"/>
                <w:szCs w:val="20"/>
                <w:lang w:val="en-US"/>
              </w:rPr>
              <w:t>Russian Revolutions in Film and Fiction</w:t>
            </w:r>
          </w:p>
        </w:tc>
      </w:tr>
      <w:bookmarkEnd w:id="0"/>
    </w:tbl>
    <w:p w14:paraId="5C505587" w14:textId="1409DBFA" w:rsidR="00D55A4E" w:rsidRPr="00025645" w:rsidRDefault="00D55A4E" w:rsidP="00D55A4E">
      <w:pPr>
        <w:pStyle w:val="a3"/>
        <w:rPr>
          <w:rFonts w:ascii="Arial" w:hAnsi="Arial" w:cs="Arial"/>
          <w:sz w:val="20"/>
          <w:szCs w:val="20"/>
          <w:lang w:val="en-US"/>
        </w:rPr>
      </w:pPr>
    </w:p>
    <w:p w14:paraId="58A4C43B" w14:textId="1506838B" w:rsidR="00345E1C" w:rsidRPr="00025645" w:rsidRDefault="00345E1C" w:rsidP="001D4092">
      <w:pPr>
        <w:pStyle w:val="a3"/>
        <w:numPr>
          <w:ilvl w:val="0"/>
          <w:numId w:val="1"/>
        </w:numPr>
        <w:rPr>
          <w:rFonts w:ascii="Arial" w:hAnsi="Arial" w:cs="Arial"/>
          <w:b/>
          <w:bCs/>
          <w:sz w:val="20"/>
          <w:szCs w:val="20"/>
        </w:rPr>
      </w:pPr>
      <w:proofErr w:type="spellStart"/>
      <w:r w:rsidRPr="00025645">
        <w:rPr>
          <w:rFonts w:ascii="Arial" w:hAnsi="Arial" w:cs="Arial"/>
          <w:b/>
          <w:bCs/>
          <w:sz w:val="20"/>
          <w:szCs w:val="20"/>
        </w:rPr>
        <w:t>Academic</w:t>
      </w:r>
      <w:proofErr w:type="spellEnd"/>
      <w:r w:rsidRPr="00025645">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025645" w14:paraId="7BA167CB" w14:textId="77777777" w:rsidTr="00994CB7">
        <w:trPr>
          <w:trHeight w:val="467"/>
        </w:trPr>
        <w:tc>
          <w:tcPr>
            <w:tcW w:w="9634" w:type="dxa"/>
          </w:tcPr>
          <w:p w14:paraId="31C55D84" w14:textId="525ADB19" w:rsidR="004D5CB9" w:rsidRPr="00025645" w:rsidRDefault="004D5CB9" w:rsidP="00100E73">
            <w:pPr>
              <w:pStyle w:val="a3"/>
              <w:ind w:left="0"/>
              <w:rPr>
                <w:rFonts w:ascii="Arial" w:hAnsi="Arial" w:cs="Arial"/>
                <w:sz w:val="20"/>
                <w:szCs w:val="20"/>
              </w:rPr>
            </w:pPr>
            <w:bookmarkStart w:id="1" w:name="_Hlk101769871"/>
            <w:r w:rsidRPr="00025645">
              <w:rPr>
                <w:rFonts w:ascii="Arial" w:hAnsi="Arial" w:cs="Arial"/>
                <w:sz w:val="20"/>
                <w:szCs w:val="20"/>
              </w:rPr>
              <w:t>Master</w:t>
            </w:r>
          </w:p>
        </w:tc>
      </w:tr>
      <w:bookmarkEnd w:id="1"/>
    </w:tbl>
    <w:p w14:paraId="0A8D478D" w14:textId="77777777" w:rsidR="00345E1C" w:rsidRPr="00025645" w:rsidRDefault="00345E1C" w:rsidP="00345E1C">
      <w:pPr>
        <w:pStyle w:val="a3"/>
        <w:rPr>
          <w:rFonts w:ascii="Arial" w:hAnsi="Arial" w:cs="Arial"/>
          <w:sz w:val="20"/>
          <w:szCs w:val="20"/>
        </w:rPr>
      </w:pPr>
    </w:p>
    <w:p w14:paraId="323EAA1A" w14:textId="62897932" w:rsidR="00BD2C0F" w:rsidRPr="00025645" w:rsidRDefault="00BD2C0F" w:rsidP="001D4092">
      <w:pPr>
        <w:pStyle w:val="a3"/>
        <w:numPr>
          <w:ilvl w:val="0"/>
          <w:numId w:val="1"/>
        </w:numPr>
        <w:rPr>
          <w:rFonts w:ascii="Arial" w:hAnsi="Arial" w:cs="Arial"/>
          <w:b/>
          <w:bCs/>
          <w:sz w:val="20"/>
          <w:szCs w:val="20"/>
        </w:rPr>
      </w:pPr>
      <w:r w:rsidRPr="00025645">
        <w:rPr>
          <w:rFonts w:ascii="Arial" w:hAnsi="Arial" w:cs="Arial"/>
          <w:b/>
          <w:bCs/>
          <w:sz w:val="20"/>
          <w:szCs w:val="20"/>
        </w:rPr>
        <w:t xml:space="preserve">ECTS </w:t>
      </w:r>
      <w:proofErr w:type="spellStart"/>
      <w:r w:rsidRPr="00025645">
        <w:rPr>
          <w:rFonts w:ascii="Arial" w:hAnsi="Arial" w:cs="Arial"/>
          <w:b/>
          <w:bCs/>
          <w:sz w:val="20"/>
          <w:szCs w:val="20"/>
        </w:rPr>
        <w:t>Credits</w:t>
      </w:r>
      <w:proofErr w:type="spellEnd"/>
      <w:r w:rsidRPr="00025645">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025645" w14:paraId="14B64FB5" w14:textId="77777777" w:rsidTr="00994CB7">
        <w:trPr>
          <w:trHeight w:val="385"/>
        </w:trPr>
        <w:tc>
          <w:tcPr>
            <w:tcW w:w="9634" w:type="dxa"/>
          </w:tcPr>
          <w:p w14:paraId="77B5CE3F" w14:textId="3FDE46FF" w:rsidR="00BD2C0F" w:rsidRPr="00025645" w:rsidRDefault="00994CB7" w:rsidP="00100E73">
            <w:pPr>
              <w:pStyle w:val="a3"/>
              <w:ind w:left="0"/>
              <w:rPr>
                <w:rFonts w:ascii="Arial" w:hAnsi="Arial" w:cs="Arial"/>
                <w:sz w:val="20"/>
                <w:szCs w:val="20"/>
              </w:rPr>
            </w:pPr>
            <w:bookmarkStart w:id="2" w:name="_Hlk101769914"/>
            <w:r w:rsidRPr="00025645">
              <w:rPr>
                <w:rFonts w:ascii="Arial" w:hAnsi="Arial" w:cs="Arial"/>
                <w:sz w:val="20"/>
                <w:szCs w:val="20"/>
                <w:lang w:val="en-US"/>
              </w:rPr>
              <w:t>5 ECTS</w:t>
            </w:r>
          </w:p>
        </w:tc>
      </w:tr>
      <w:bookmarkEnd w:id="2"/>
    </w:tbl>
    <w:p w14:paraId="3A1ACB52" w14:textId="29107227" w:rsidR="00BD2C0F" w:rsidRPr="00025645" w:rsidRDefault="00BD2C0F" w:rsidP="00BD2C0F">
      <w:pPr>
        <w:rPr>
          <w:rFonts w:ascii="Arial" w:hAnsi="Arial" w:cs="Arial"/>
          <w:sz w:val="20"/>
          <w:szCs w:val="20"/>
        </w:rPr>
      </w:pPr>
    </w:p>
    <w:p w14:paraId="76F7F950" w14:textId="2582DA14" w:rsidR="00BD2C0F" w:rsidRPr="00025645" w:rsidRDefault="001D4092" w:rsidP="00BD2C0F">
      <w:pPr>
        <w:pStyle w:val="a3"/>
        <w:numPr>
          <w:ilvl w:val="0"/>
          <w:numId w:val="1"/>
        </w:numPr>
        <w:rPr>
          <w:rFonts w:ascii="Arial" w:hAnsi="Arial" w:cs="Arial"/>
          <w:b/>
          <w:bCs/>
          <w:sz w:val="20"/>
          <w:szCs w:val="20"/>
        </w:rPr>
      </w:pPr>
      <w:proofErr w:type="spellStart"/>
      <w:r w:rsidRPr="00025645">
        <w:rPr>
          <w:rFonts w:ascii="Arial" w:hAnsi="Arial" w:cs="Arial"/>
          <w:b/>
          <w:bCs/>
          <w:sz w:val="20"/>
          <w:szCs w:val="20"/>
        </w:rPr>
        <w:t>Semester</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025645" w14:paraId="311FB479" w14:textId="77777777" w:rsidTr="002E6CD5">
        <w:trPr>
          <w:trHeight w:val="541"/>
        </w:trPr>
        <w:tc>
          <w:tcPr>
            <w:tcW w:w="9634" w:type="dxa"/>
          </w:tcPr>
          <w:p w14:paraId="4AC63658" w14:textId="05F3913C" w:rsidR="001D4092" w:rsidRPr="00025645" w:rsidRDefault="00B5000C" w:rsidP="00100E73">
            <w:pPr>
              <w:pStyle w:val="a3"/>
              <w:ind w:left="0"/>
              <w:rPr>
                <w:rFonts w:ascii="Arial" w:hAnsi="Arial" w:cs="Arial"/>
                <w:sz w:val="20"/>
                <w:szCs w:val="20"/>
              </w:rPr>
            </w:pPr>
            <w:bookmarkStart w:id="3" w:name="_Hlk101769966"/>
            <w:r w:rsidRPr="00025645">
              <w:rPr>
                <w:rFonts w:ascii="Arial" w:hAnsi="Arial" w:cs="Arial"/>
                <w:sz w:val="20"/>
                <w:szCs w:val="20"/>
              </w:rPr>
              <w:t>3</w:t>
            </w:r>
            <w:r w:rsidR="002E6CD5" w:rsidRPr="00025645">
              <w:rPr>
                <w:rFonts w:ascii="Arial" w:hAnsi="Arial" w:cs="Arial"/>
                <w:sz w:val="20"/>
                <w:szCs w:val="20"/>
              </w:rPr>
              <w:t xml:space="preserve">, </w:t>
            </w:r>
            <w:proofErr w:type="spellStart"/>
            <w:r w:rsidR="002E6CD5" w:rsidRPr="00025645">
              <w:rPr>
                <w:rFonts w:ascii="Arial" w:hAnsi="Arial" w:cs="Arial"/>
                <w:sz w:val="20"/>
                <w:szCs w:val="20"/>
              </w:rPr>
              <w:t>autumn</w:t>
            </w:r>
            <w:proofErr w:type="spellEnd"/>
            <w:r w:rsidR="002E6CD5" w:rsidRPr="00025645">
              <w:rPr>
                <w:rFonts w:ascii="Arial" w:hAnsi="Arial" w:cs="Arial"/>
                <w:sz w:val="20"/>
                <w:szCs w:val="20"/>
              </w:rPr>
              <w:t xml:space="preserve"> </w:t>
            </w:r>
            <w:proofErr w:type="spellStart"/>
            <w:r w:rsidR="002E6CD5" w:rsidRPr="00025645">
              <w:rPr>
                <w:rFonts w:ascii="Arial" w:hAnsi="Arial" w:cs="Arial"/>
                <w:sz w:val="20"/>
                <w:szCs w:val="20"/>
              </w:rPr>
              <w:t>semester</w:t>
            </w:r>
            <w:proofErr w:type="spellEnd"/>
          </w:p>
        </w:tc>
      </w:tr>
      <w:bookmarkEnd w:id="3"/>
    </w:tbl>
    <w:p w14:paraId="27F4FC0C" w14:textId="35F136CD" w:rsidR="001D4092" w:rsidRPr="00025645" w:rsidRDefault="001D4092" w:rsidP="001D4092">
      <w:pPr>
        <w:rPr>
          <w:rFonts w:ascii="Arial" w:hAnsi="Arial" w:cs="Arial"/>
          <w:sz w:val="20"/>
          <w:szCs w:val="20"/>
        </w:rPr>
      </w:pPr>
    </w:p>
    <w:p w14:paraId="25BCCCD4" w14:textId="7ABA2861" w:rsidR="001D4092" w:rsidRPr="00025645" w:rsidRDefault="001D4092" w:rsidP="001D4092">
      <w:pPr>
        <w:pStyle w:val="a3"/>
        <w:numPr>
          <w:ilvl w:val="0"/>
          <w:numId w:val="1"/>
        </w:numPr>
        <w:rPr>
          <w:rFonts w:ascii="Arial" w:hAnsi="Arial" w:cs="Arial"/>
          <w:b/>
          <w:bCs/>
          <w:sz w:val="20"/>
          <w:szCs w:val="20"/>
        </w:rPr>
      </w:pPr>
      <w:r w:rsidRPr="00025645">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AA56E2" w14:paraId="1316B365" w14:textId="77777777" w:rsidTr="00A05BE3">
        <w:trPr>
          <w:trHeight w:val="478"/>
        </w:trPr>
        <w:tc>
          <w:tcPr>
            <w:tcW w:w="9634" w:type="dxa"/>
          </w:tcPr>
          <w:p w14:paraId="5E7FD833" w14:textId="77777777" w:rsidR="00A05BE3" w:rsidRPr="00025645" w:rsidRDefault="00A05BE3" w:rsidP="00A05BE3">
            <w:pPr>
              <w:rPr>
                <w:rFonts w:ascii="Arial" w:hAnsi="Arial" w:cs="Arial"/>
                <w:sz w:val="20"/>
                <w:szCs w:val="20"/>
                <w:lang w:val="en-US"/>
              </w:rPr>
            </w:pPr>
            <w:bookmarkStart w:id="4" w:name="_Hlk101770218"/>
            <w:r w:rsidRPr="00025645">
              <w:rPr>
                <w:rFonts w:ascii="Arial" w:hAnsi="Arial" w:cs="Arial"/>
                <w:sz w:val="20"/>
                <w:szCs w:val="20"/>
                <w:lang w:val="en-US"/>
              </w:rPr>
              <w:t>Institute of History and International Relations</w:t>
            </w:r>
          </w:p>
          <w:p w14:paraId="4123BD01" w14:textId="77777777" w:rsidR="001D4092" w:rsidRPr="00025645" w:rsidRDefault="001D4092" w:rsidP="00100E73">
            <w:pPr>
              <w:pStyle w:val="a3"/>
              <w:ind w:left="0"/>
              <w:rPr>
                <w:rFonts w:ascii="Arial" w:hAnsi="Arial" w:cs="Arial"/>
                <w:sz w:val="20"/>
                <w:szCs w:val="20"/>
                <w:lang w:val="en-US"/>
              </w:rPr>
            </w:pPr>
          </w:p>
        </w:tc>
      </w:tr>
      <w:bookmarkEnd w:id="4"/>
    </w:tbl>
    <w:p w14:paraId="05CA5E9D" w14:textId="68ECEFF9" w:rsidR="001D4092" w:rsidRPr="00025645" w:rsidRDefault="001D4092" w:rsidP="001D4092">
      <w:pPr>
        <w:rPr>
          <w:rFonts w:ascii="Arial" w:hAnsi="Arial" w:cs="Arial"/>
          <w:sz w:val="20"/>
          <w:szCs w:val="20"/>
          <w:lang w:val="en-US"/>
        </w:rPr>
      </w:pPr>
    </w:p>
    <w:p w14:paraId="64BF0BD5" w14:textId="1FDBF5ED" w:rsidR="001D4092" w:rsidRPr="00025645" w:rsidRDefault="00A925C7" w:rsidP="001D4092">
      <w:pPr>
        <w:pStyle w:val="a3"/>
        <w:numPr>
          <w:ilvl w:val="0"/>
          <w:numId w:val="1"/>
        </w:numPr>
        <w:rPr>
          <w:rFonts w:ascii="Arial" w:hAnsi="Arial" w:cs="Arial"/>
          <w:b/>
          <w:bCs/>
          <w:sz w:val="20"/>
          <w:szCs w:val="20"/>
        </w:rPr>
      </w:pPr>
      <w:proofErr w:type="spellStart"/>
      <w:r w:rsidRPr="00025645">
        <w:rPr>
          <w:rFonts w:ascii="Arial" w:hAnsi="Arial" w:cs="Arial"/>
          <w:b/>
          <w:bCs/>
          <w:sz w:val="20"/>
          <w:szCs w:val="20"/>
        </w:rPr>
        <w:t>Location</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025645" w14:paraId="08CEE7F1" w14:textId="77777777" w:rsidTr="000010DA">
        <w:trPr>
          <w:trHeight w:val="483"/>
        </w:trPr>
        <w:tc>
          <w:tcPr>
            <w:tcW w:w="9634" w:type="dxa"/>
          </w:tcPr>
          <w:p w14:paraId="0B31C0AD" w14:textId="183CA3B2" w:rsidR="000010DA" w:rsidRPr="00025645" w:rsidRDefault="000010DA" w:rsidP="000010DA">
            <w:pPr>
              <w:rPr>
                <w:rFonts w:ascii="Arial" w:hAnsi="Arial" w:cs="Arial"/>
                <w:sz w:val="20"/>
                <w:szCs w:val="20"/>
                <w:lang w:val="en-US"/>
              </w:rPr>
            </w:pPr>
            <w:r w:rsidRPr="00025645">
              <w:rPr>
                <w:rFonts w:ascii="Arial" w:hAnsi="Arial" w:cs="Arial"/>
                <w:sz w:val="20"/>
                <w:szCs w:val="20"/>
                <w:lang w:val="en-US"/>
              </w:rPr>
              <w:t xml:space="preserve">140 </w:t>
            </w:r>
            <w:proofErr w:type="spellStart"/>
            <w:r w:rsidRPr="00025645">
              <w:rPr>
                <w:rFonts w:ascii="Arial" w:hAnsi="Arial" w:cs="Arial"/>
                <w:sz w:val="20"/>
                <w:szCs w:val="20"/>
                <w:lang w:val="en-US"/>
              </w:rPr>
              <w:t>Pushkinskaya</w:t>
            </w:r>
            <w:proofErr w:type="spellEnd"/>
            <w:r w:rsidRPr="00025645">
              <w:rPr>
                <w:rFonts w:ascii="Arial" w:hAnsi="Arial" w:cs="Arial"/>
                <w:sz w:val="20"/>
                <w:szCs w:val="20"/>
                <w:lang w:val="en-US"/>
              </w:rPr>
              <w:t xml:space="preserve"> St., Rostov-on-Don </w:t>
            </w:r>
          </w:p>
          <w:p w14:paraId="5E51F272" w14:textId="77777777" w:rsidR="00A05504" w:rsidRPr="00025645" w:rsidRDefault="00A05504" w:rsidP="00100E73">
            <w:pPr>
              <w:pStyle w:val="a3"/>
              <w:ind w:left="0"/>
              <w:rPr>
                <w:rFonts w:ascii="Arial" w:hAnsi="Arial" w:cs="Arial"/>
                <w:sz w:val="20"/>
                <w:szCs w:val="20"/>
                <w:lang w:val="en-US"/>
              </w:rPr>
            </w:pPr>
          </w:p>
        </w:tc>
      </w:tr>
    </w:tbl>
    <w:p w14:paraId="54763A25" w14:textId="77777777" w:rsidR="00A05504" w:rsidRPr="00025645" w:rsidRDefault="00A05504" w:rsidP="00A05504">
      <w:pPr>
        <w:pStyle w:val="a3"/>
        <w:rPr>
          <w:rFonts w:ascii="Arial" w:hAnsi="Arial" w:cs="Arial"/>
          <w:sz w:val="20"/>
          <w:szCs w:val="20"/>
          <w:lang w:val="en-US"/>
        </w:rPr>
      </w:pPr>
    </w:p>
    <w:p w14:paraId="78B1AD05" w14:textId="7ACF9726" w:rsidR="00A925C7" w:rsidRPr="00025645" w:rsidRDefault="00A925C7" w:rsidP="001D4092">
      <w:pPr>
        <w:pStyle w:val="a3"/>
        <w:numPr>
          <w:ilvl w:val="0"/>
          <w:numId w:val="1"/>
        </w:numPr>
        <w:rPr>
          <w:rFonts w:ascii="Arial" w:hAnsi="Arial" w:cs="Arial"/>
          <w:b/>
          <w:bCs/>
          <w:sz w:val="20"/>
          <w:szCs w:val="20"/>
        </w:rPr>
      </w:pPr>
      <w:proofErr w:type="spellStart"/>
      <w:r w:rsidRPr="00025645">
        <w:rPr>
          <w:rFonts w:ascii="Arial" w:hAnsi="Arial" w:cs="Arial"/>
          <w:b/>
          <w:bCs/>
          <w:sz w:val="20"/>
          <w:szCs w:val="20"/>
        </w:rPr>
        <w:t>Instructor</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AA56E2" w14:paraId="37E3055B" w14:textId="77777777" w:rsidTr="00AA56E2">
        <w:trPr>
          <w:trHeight w:val="561"/>
        </w:trPr>
        <w:tc>
          <w:tcPr>
            <w:tcW w:w="9634" w:type="dxa"/>
          </w:tcPr>
          <w:p w14:paraId="0EB10394" w14:textId="50F9FB08" w:rsidR="00A05504" w:rsidRPr="00025645" w:rsidRDefault="00B5000C" w:rsidP="00100E73">
            <w:pPr>
              <w:pStyle w:val="a3"/>
              <w:ind w:left="0"/>
              <w:rPr>
                <w:rFonts w:ascii="Arial" w:hAnsi="Arial" w:cs="Arial"/>
                <w:sz w:val="20"/>
                <w:szCs w:val="20"/>
                <w:lang w:val="en-US"/>
              </w:rPr>
            </w:pPr>
            <w:r w:rsidRPr="00025645">
              <w:rPr>
                <w:rFonts w:ascii="Arial" w:hAnsi="Arial" w:cs="Arial"/>
                <w:sz w:val="20"/>
                <w:szCs w:val="20"/>
                <w:lang w:val="en-US"/>
              </w:rPr>
              <w:t xml:space="preserve">Prof.  Alexey Golubev, University of Houston. E-mail: </w:t>
            </w:r>
            <w:hyperlink r:id="rId7" w:history="1">
              <w:r w:rsidRPr="00025645">
                <w:rPr>
                  <w:rStyle w:val="a5"/>
                  <w:rFonts w:ascii="Arial" w:hAnsi="Arial" w:cs="Arial"/>
                  <w:sz w:val="20"/>
                  <w:szCs w:val="20"/>
                  <w:lang w:val="en-US"/>
                </w:rPr>
                <w:t>avgolube@central.uh.edu</w:t>
              </w:r>
            </w:hyperlink>
          </w:p>
        </w:tc>
      </w:tr>
    </w:tbl>
    <w:p w14:paraId="08E6860B" w14:textId="77777777" w:rsidR="00A05504" w:rsidRPr="00025645" w:rsidRDefault="00A05504" w:rsidP="00A05504">
      <w:pPr>
        <w:pStyle w:val="a3"/>
        <w:rPr>
          <w:rFonts w:ascii="Arial" w:hAnsi="Arial" w:cs="Arial"/>
          <w:sz w:val="20"/>
          <w:szCs w:val="20"/>
          <w:lang w:val="en-US"/>
        </w:rPr>
      </w:pPr>
    </w:p>
    <w:p w14:paraId="628D6DE8" w14:textId="5F9FF9D2" w:rsidR="00A925C7" w:rsidRPr="00025645" w:rsidRDefault="00A925C7" w:rsidP="001D4092">
      <w:pPr>
        <w:pStyle w:val="a3"/>
        <w:numPr>
          <w:ilvl w:val="0"/>
          <w:numId w:val="1"/>
        </w:numPr>
        <w:rPr>
          <w:rFonts w:ascii="Arial" w:hAnsi="Arial" w:cs="Arial"/>
          <w:b/>
          <w:bCs/>
          <w:sz w:val="20"/>
          <w:szCs w:val="20"/>
        </w:rPr>
      </w:pPr>
      <w:r w:rsidRPr="00025645">
        <w:rPr>
          <w:rFonts w:ascii="Arial" w:hAnsi="Arial" w:cs="Arial"/>
          <w:b/>
          <w:bCs/>
          <w:sz w:val="20"/>
          <w:szCs w:val="20"/>
        </w:rPr>
        <w:t xml:space="preserve">Language of </w:t>
      </w:r>
      <w:proofErr w:type="spellStart"/>
      <w:r w:rsidRPr="00025645">
        <w:rPr>
          <w:rFonts w:ascii="Arial" w:hAnsi="Arial" w:cs="Arial"/>
          <w:b/>
          <w:bCs/>
          <w:sz w:val="20"/>
          <w:szCs w:val="20"/>
        </w:rPr>
        <w:t>Instruction</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025645" w14:paraId="6738EDCE" w14:textId="77777777" w:rsidTr="000D3793">
        <w:trPr>
          <w:trHeight w:val="549"/>
        </w:trPr>
        <w:tc>
          <w:tcPr>
            <w:tcW w:w="9634" w:type="dxa"/>
          </w:tcPr>
          <w:p w14:paraId="7AC26C1D" w14:textId="77777777" w:rsidR="000D3793" w:rsidRPr="00025645" w:rsidRDefault="000D3793" w:rsidP="000D3793">
            <w:pPr>
              <w:rPr>
                <w:rFonts w:ascii="Arial" w:hAnsi="Arial" w:cs="Arial"/>
                <w:sz w:val="20"/>
                <w:szCs w:val="20"/>
                <w:lang w:val="en-US"/>
              </w:rPr>
            </w:pPr>
            <w:r w:rsidRPr="00025645">
              <w:rPr>
                <w:rFonts w:ascii="Arial" w:hAnsi="Arial" w:cs="Arial"/>
                <w:sz w:val="20"/>
                <w:szCs w:val="20"/>
                <w:lang w:val="en-US"/>
              </w:rPr>
              <w:t>English</w:t>
            </w:r>
          </w:p>
          <w:p w14:paraId="0650DCF2" w14:textId="77777777" w:rsidR="00A05504" w:rsidRPr="00025645" w:rsidRDefault="00A05504" w:rsidP="00100E73">
            <w:pPr>
              <w:pStyle w:val="a3"/>
              <w:ind w:left="0"/>
              <w:rPr>
                <w:rFonts w:ascii="Arial" w:hAnsi="Arial" w:cs="Arial"/>
                <w:sz w:val="20"/>
                <w:szCs w:val="20"/>
              </w:rPr>
            </w:pPr>
          </w:p>
        </w:tc>
      </w:tr>
    </w:tbl>
    <w:p w14:paraId="173FD165" w14:textId="77777777" w:rsidR="00A05504" w:rsidRPr="00025645" w:rsidRDefault="00A05504" w:rsidP="00A05504">
      <w:pPr>
        <w:pStyle w:val="a3"/>
        <w:rPr>
          <w:rFonts w:ascii="Arial" w:hAnsi="Arial" w:cs="Arial"/>
          <w:sz w:val="20"/>
          <w:szCs w:val="20"/>
        </w:rPr>
      </w:pPr>
    </w:p>
    <w:p w14:paraId="1D24A37A" w14:textId="5D24B8E2" w:rsidR="00A925C7" w:rsidRPr="00025645" w:rsidRDefault="00A925C7" w:rsidP="001D4092">
      <w:pPr>
        <w:pStyle w:val="a3"/>
        <w:numPr>
          <w:ilvl w:val="0"/>
          <w:numId w:val="1"/>
        </w:numPr>
        <w:rPr>
          <w:rFonts w:ascii="Arial" w:hAnsi="Arial" w:cs="Arial"/>
          <w:b/>
          <w:bCs/>
          <w:sz w:val="20"/>
          <w:szCs w:val="20"/>
        </w:rPr>
      </w:pPr>
      <w:proofErr w:type="spellStart"/>
      <w:r w:rsidRPr="00025645">
        <w:rPr>
          <w:rFonts w:ascii="Arial" w:hAnsi="Arial" w:cs="Arial"/>
          <w:b/>
          <w:bCs/>
          <w:sz w:val="20"/>
          <w:szCs w:val="20"/>
        </w:rPr>
        <w:t>Course</w:t>
      </w:r>
      <w:proofErr w:type="spellEnd"/>
      <w:r w:rsidRPr="00025645">
        <w:rPr>
          <w:rFonts w:ascii="Arial" w:hAnsi="Arial" w:cs="Arial"/>
          <w:b/>
          <w:bCs/>
          <w:sz w:val="20"/>
          <w:szCs w:val="20"/>
        </w:rPr>
        <w:t xml:space="preserve"> </w:t>
      </w:r>
      <w:proofErr w:type="spellStart"/>
      <w:r w:rsidRPr="00025645">
        <w:rPr>
          <w:rFonts w:ascii="Arial" w:hAnsi="Arial" w:cs="Arial"/>
          <w:b/>
          <w:bCs/>
          <w:sz w:val="20"/>
          <w:szCs w:val="20"/>
        </w:rPr>
        <w:t>Description</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AA56E2" w14:paraId="6D5AFE03" w14:textId="77777777" w:rsidTr="00B5000C">
        <w:trPr>
          <w:trHeight w:val="273"/>
        </w:trPr>
        <w:tc>
          <w:tcPr>
            <w:tcW w:w="9634" w:type="dxa"/>
          </w:tcPr>
          <w:p w14:paraId="130B7E9E" w14:textId="7E1252A0" w:rsidR="00B5000C" w:rsidRPr="00025645" w:rsidRDefault="00B5000C" w:rsidP="00B5000C">
            <w:pPr>
              <w:rPr>
                <w:rFonts w:ascii="Arial" w:hAnsi="Arial" w:cs="Arial"/>
                <w:sz w:val="20"/>
                <w:szCs w:val="20"/>
                <w:lang w:val="en-US"/>
              </w:rPr>
            </w:pPr>
            <w:r w:rsidRPr="00025645">
              <w:rPr>
                <w:rFonts w:ascii="Arial" w:hAnsi="Arial" w:cs="Arial"/>
                <w:sz w:val="20"/>
                <w:szCs w:val="20"/>
                <w:lang w:val="en-US"/>
              </w:rPr>
              <w:t>The</w:t>
            </w:r>
            <w:r w:rsidR="00025645">
              <w:rPr>
                <w:rFonts w:ascii="Arial" w:hAnsi="Arial" w:cs="Arial"/>
                <w:sz w:val="20"/>
                <w:szCs w:val="20"/>
                <w:lang w:val="en-US"/>
              </w:rPr>
              <w:t xml:space="preserve"> elective</w:t>
            </w:r>
            <w:r w:rsidRPr="00025645">
              <w:rPr>
                <w:rFonts w:ascii="Arial" w:hAnsi="Arial" w:cs="Arial"/>
                <w:sz w:val="20"/>
                <w:szCs w:val="20"/>
                <w:lang w:val="en-US"/>
              </w:rPr>
              <w:t xml:space="preserve"> discipline "Russian Revolutions in Film and Fiction" is intended for undergraduates </w:t>
            </w:r>
            <w:r w:rsidR="00025645">
              <w:rPr>
                <w:rFonts w:ascii="Arial" w:hAnsi="Arial" w:cs="Arial"/>
                <w:sz w:val="20"/>
                <w:szCs w:val="20"/>
                <w:lang w:val="en-US"/>
              </w:rPr>
              <w:t xml:space="preserve">in their </w:t>
            </w:r>
            <w:r w:rsidRPr="00025645">
              <w:rPr>
                <w:rFonts w:ascii="Arial" w:hAnsi="Arial" w:cs="Arial"/>
                <w:sz w:val="20"/>
                <w:szCs w:val="20"/>
                <w:lang w:val="en-US"/>
              </w:rPr>
              <w:t>2</w:t>
            </w:r>
            <w:r w:rsidR="00025645">
              <w:rPr>
                <w:rFonts w:ascii="Arial" w:hAnsi="Arial" w:cs="Arial"/>
                <w:sz w:val="20"/>
                <w:szCs w:val="20"/>
                <w:lang w:val="en-US"/>
              </w:rPr>
              <w:t>nd</w:t>
            </w:r>
            <w:r w:rsidRPr="00025645">
              <w:rPr>
                <w:rFonts w:ascii="Arial" w:hAnsi="Arial" w:cs="Arial"/>
                <w:sz w:val="20"/>
                <w:szCs w:val="20"/>
                <w:lang w:val="en-US"/>
              </w:rPr>
              <w:t xml:space="preserve"> year (3 semester) of study and is an integral part of the program "Socialist and post-socialist studies". The discipline "Russian Revolutions in Film and Fiction" aims to form students understanding of the ways and forms of perception of Russian revolutions in mass culture and art. As part of the study of the discipline, the following basic educational technologies are used: problem</w:t>
            </w:r>
            <w:r w:rsidR="00025645">
              <w:rPr>
                <w:rFonts w:ascii="Arial" w:hAnsi="Arial" w:cs="Arial"/>
                <w:sz w:val="20"/>
                <w:szCs w:val="20"/>
                <w:lang w:val="en-US"/>
              </w:rPr>
              <w:t>-oriented</w:t>
            </w:r>
            <w:r w:rsidRPr="00025645">
              <w:rPr>
                <w:rFonts w:ascii="Arial" w:hAnsi="Arial" w:cs="Arial"/>
                <w:sz w:val="20"/>
                <w:szCs w:val="20"/>
                <w:lang w:val="en-US"/>
              </w:rPr>
              <w:t xml:space="preserve"> lectures, practical classes, independent work of students. </w:t>
            </w:r>
          </w:p>
          <w:p w14:paraId="73B4778B" w14:textId="12B1B1F0" w:rsidR="00A05504" w:rsidRPr="00025645" w:rsidRDefault="00A05504" w:rsidP="00100E73">
            <w:pPr>
              <w:pStyle w:val="a3"/>
              <w:ind w:left="0"/>
              <w:rPr>
                <w:rFonts w:ascii="Arial" w:hAnsi="Arial" w:cs="Arial"/>
                <w:sz w:val="20"/>
                <w:szCs w:val="20"/>
                <w:lang w:val="en-US"/>
              </w:rPr>
            </w:pPr>
          </w:p>
        </w:tc>
      </w:tr>
    </w:tbl>
    <w:p w14:paraId="64D5A8AA" w14:textId="7D20860B" w:rsidR="00A05504" w:rsidRPr="00025645" w:rsidRDefault="00A05504" w:rsidP="00A05504">
      <w:pPr>
        <w:pStyle w:val="a3"/>
        <w:rPr>
          <w:rFonts w:ascii="Arial" w:hAnsi="Arial" w:cs="Arial"/>
          <w:sz w:val="20"/>
          <w:szCs w:val="20"/>
          <w:lang w:val="en-US"/>
        </w:rPr>
      </w:pPr>
    </w:p>
    <w:p w14:paraId="53F55C46" w14:textId="14010372" w:rsidR="00A925C7" w:rsidRPr="00025645" w:rsidRDefault="00A925C7" w:rsidP="001D4092">
      <w:pPr>
        <w:pStyle w:val="a3"/>
        <w:numPr>
          <w:ilvl w:val="0"/>
          <w:numId w:val="1"/>
        </w:numPr>
        <w:rPr>
          <w:rFonts w:ascii="Arial" w:hAnsi="Arial" w:cs="Arial"/>
          <w:b/>
          <w:bCs/>
          <w:sz w:val="20"/>
          <w:szCs w:val="20"/>
        </w:rPr>
      </w:pPr>
      <w:proofErr w:type="spellStart"/>
      <w:r w:rsidRPr="00025645">
        <w:rPr>
          <w:rFonts w:ascii="Arial" w:hAnsi="Arial" w:cs="Arial"/>
          <w:b/>
          <w:bCs/>
          <w:sz w:val="20"/>
          <w:szCs w:val="20"/>
        </w:rPr>
        <w:t>Course</w:t>
      </w:r>
      <w:proofErr w:type="spellEnd"/>
      <w:r w:rsidRPr="00025645">
        <w:rPr>
          <w:rFonts w:ascii="Arial" w:hAnsi="Arial" w:cs="Arial"/>
          <w:b/>
          <w:bCs/>
          <w:sz w:val="20"/>
          <w:szCs w:val="20"/>
        </w:rPr>
        <w:t xml:space="preserve"> </w:t>
      </w:r>
      <w:proofErr w:type="spellStart"/>
      <w:r w:rsidRPr="00025645">
        <w:rPr>
          <w:rFonts w:ascii="Arial" w:hAnsi="Arial" w:cs="Arial"/>
          <w:b/>
          <w:bCs/>
          <w:sz w:val="20"/>
          <w:szCs w:val="20"/>
        </w:rPr>
        <w:t>Aims</w:t>
      </w:r>
      <w:proofErr w:type="spellEnd"/>
      <w:r w:rsidRPr="0002564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AA56E2" w14:paraId="75494349" w14:textId="77777777" w:rsidTr="00100E73">
        <w:trPr>
          <w:trHeight w:val="777"/>
        </w:trPr>
        <w:tc>
          <w:tcPr>
            <w:tcW w:w="9634" w:type="dxa"/>
          </w:tcPr>
          <w:p w14:paraId="3BFBFA50" w14:textId="77777777"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lastRenderedPageBreak/>
              <w:t xml:space="preserve">- to study how the ideas about the Russian revolutions of the early twentieth century were formed and transformed in Russian and Soviet literature and </w:t>
            </w:r>
            <w:proofErr w:type="gramStart"/>
            <w:r w:rsidRPr="00025645">
              <w:rPr>
                <w:rFonts w:ascii="Arial" w:hAnsi="Arial" w:cs="Arial"/>
                <w:sz w:val="20"/>
                <w:szCs w:val="20"/>
                <w:lang w:val="en-US"/>
              </w:rPr>
              <w:t>cinema;</w:t>
            </w:r>
            <w:proofErr w:type="gramEnd"/>
          </w:p>
          <w:p w14:paraId="4CBE97AB" w14:textId="77777777"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 xml:space="preserve">- to identify the mechanisms of formation and evolution of images of opposing parties-participants of revolutions in the mass public </w:t>
            </w:r>
            <w:proofErr w:type="gramStart"/>
            <w:r w:rsidRPr="00025645">
              <w:rPr>
                <w:rFonts w:ascii="Arial" w:hAnsi="Arial" w:cs="Arial"/>
                <w:sz w:val="20"/>
                <w:szCs w:val="20"/>
                <w:lang w:val="en-US"/>
              </w:rPr>
              <w:t>consciousness;</w:t>
            </w:r>
            <w:proofErr w:type="gramEnd"/>
          </w:p>
          <w:p w14:paraId="1381CAAE" w14:textId="0DD33AB2" w:rsidR="00A05504" w:rsidRPr="00025645" w:rsidRDefault="00187661" w:rsidP="00187661">
            <w:pPr>
              <w:rPr>
                <w:rFonts w:ascii="Arial" w:hAnsi="Arial" w:cs="Arial"/>
                <w:sz w:val="20"/>
                <w:szCs w:val="20"/>
                <w:lang w:val="en-US"/>
              </w:rPr>
            </w:pPr>
            <w:r w:rsidRPr="00025645">
              <w:rPr>
                <w:rFonts w:ascii="Arial" w:hAnsi="Arial" w:cs="Arial"/>
                <w:sz w:val="20"/>
                <w:szCs w:val="20"/>
                <w:lang w:val="en-US"/>
              </w:rPr>
              <w:t xml:space="preserve">- to identify the contribution of Russian and Soviet writers, poets, directors, </w:t>
            </w:r>
            <w:proofErr w:type="gramStart"/>
            <w:r w:rsidRPr="00025645">
              <w:rPr>
                <w:rFonts w:ascii="Arial" w:hAnsi="Arial" w:cs="Arial"/>
                <w:sz w:val="20"/>
                <w:szCs w:val="20"/>
                <w:lang w:val="en-US"/>
              </w:rPr>
              <w:t>screenwriters</w:t>
            </w:r>
            <w:proofErr w:type="gramEnd"/>
            <w:r w:rsidRPr="00025645">
              <w:rPr>
                <w:rFonts w:ascii="Arial" w:hAnsi="Arial" w:cs="Arial"/>
                <w:sz w:val="20"/>
                <w:szCs w:val="20"/>
                <w:lang w:val="en-US"/>
              </w:rPr>
              <w:t xml:space="preserve"> and other cultural figures to the formation of the image of the Russian revolutions in the mass public consciousness.</w:t>
            </w:r>
          </w:p>
        </w:tc>
      </w:tr>
    </w:tbl>
    <w:p w14:paraId="05EDEBF5" w14:textId="77777777" w:rsidR="00A05504" w:rsidRPr="00025645" w:rsidRDefault="00A05504" w:rsidP="00A05504">
      <w:pPr>
        <w:pStyle w:val="a3"/>
        <w:rPr>
          <w:rFonts w:ascii="Arial" w:hAnsi="Arial" w:cs="Arial"/>
          <w:sz w:val="20"/>
          <w:szCs w:val="20"/>
          <w:lang w:val="en-US"/>
        </w:rPr>
      </w:pPr>
    </w:p>
    <w:p w14:paraId="6FD6094A" w14:textId="393E45E9"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025645" w14:paraId="5AFC2944" w14:textId="77777777" w:rsidTr="00102ACA">
        <w:trPr>
          <w:trHeight w:val="563"/>
        </w:trPr>
        <w:tc>
          <w:tcPr>
            <w:tcW w:w="9634" w:type="dxa"/>
          </w:tcPr>
          <w:p w14:paraId="789A8563" w14:textId="47400EA5" w:rsidR="00A05504" w:rsidRPr="00025645" w:rsidRDefault="00102ACA" w:rsidP="00100E73">
            <w:pPr>
              <w:pStyle w:val="a3"/>
              <w:ind w:left="0"/>
              <w:rPr>
                <w:rFonts w:ascii="Arial" w:hAnsi="Arial" w:cs="Arial"/>
                <w:sz w:val="20"/>
                <w:szCs w:val="20"/>
              </w:rPr>
            </w:pPr>
            <w:r w:rsidRPr="00025645">
              <w:rPr>
                <w:rFonts w:ascii="Arial" w:hAnsi="Arial" w:cs="Arial"/>
                <w:sz w:val="20"/>
                <w:szCs w:val="20"/>
              </w:rPr>
              <w:t>-</w:t>
            </w:r>
          </w:p>
        </w:tc>
      </w:tr>
    </w:tbl>
    <w:p w14:paraId="250CD6D6" w14:textId="77777777" w:rsidR="00A05504" w:rsidRPr="00025645" w:rsidRDefault="00A05504" w:rsidP="00A05504">
      <w:pPr>
        <w:pStyle w:val="a3"/>
        <w:rPr>
          <w:rFonts w:ascii="Arial" w:hAnsi="Arial" w:cs="Arial"/>
          <w:sz w:val="20"/>
          <w:szCs w:val="20"/>
          <w:lang w:val="en-US"/>
        </w:rPr>
      </w:pPr>
    </w:p>
    <w:p w14:paraId="191AA323" w14:textId="525F8E36"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AA56E2" w14:paraId="363A079C" w14:textId="77777777" w:rsidTr="00102ACA">
        <w:trPr>
          <w:trHeight w:val="455"/>
        </w:trPr>
        <w:tc>
          <w:tcPr>
            <w:tcW w:w="9634" w:type="dxa"/>
          </w:tcPr>
          <w:p w14:paraId="608B7D7E" w14:textId="77777777" w:rsidR="00187661" w:rsidRPr="00025645" w:rsidRDefault="00187661" w:rsidP="00187661">
            <w:pPr>
              <w:rPr>
                <w:rFonts w:ascii="Arial" w:hAnsi="Arial" w:cs="Arial"/>
                <w:sz w:val="20"/>
                <w:szCs w:val="20"/>
                <w:lang w:val="en-US"/>
              </w:rPr>
            </w:pPr>
            <w:r w:rsidRPr="00025645">
              <w:rPr>
                <w:rFonts w:ascii="Arial" w:hAnsi="Arial" w:cs="Arial"/>
                <w:b/>
                <w:sz w:val="20"/>
                <w:szCs w:val="20"/>
                <w:lang w:val="en-US"/>
              </w:rPr>
              <w:t>Module 1.</w:t>
            </w:r>
            <w:r w:rsidRPr="00025645">
              <w:rPr>
                <w:rFonts w:ascii="Arial" w:hAnsi="Arial" w:cs="Arial"/>
                <w:sz w:val="20"/>
                <w:szCs w:val="20"/>
                <w:lang w:val="en-US"/>
              </w:rPr>
              <w:t xml:space="preserve"> Revolutionary utopianism.</w:t>
            </w:r>
          </w:p>
          <w:p w14:paraId="625A40EF" w14:textId="486D2A0E"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Historical context and history of emotions.</w:t>
            </w:r>
          </w:p>
          <w:p w14:paraId="3B79FBD3" w14:textId="1EF33C1F"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Anticipating the revolution</w:t>
            </w:r>
            <w:r w:rsidRPr="00025645">
              <w:rPr>
                <w:rFonts w:ascii="Arial" w:hAnsi="Arial" w:cs="Arial"/>
                <w:sz w:val="20"/>
                <w:szCs w:val="20"/>
              </w:rPr>
              <w:t>ю</w:t>
            </w:r>
            <w:r w:rsidRPr="00025645">
              <w:rPr>
                <w:rFonts w:ascii="Arial" w:hAnsi="Arial" w:cs="Arial"/>
                <w:sz w:val="20"/>
                <w:szCs w:val="20"/>
                <w:lang w:val="en-US"/>
              </w:rPr>
              <w:t>.</w:t>
            </w:r>
          </w:p>
          <w:p w14:paraId="51BE8FD0" w14:textId="74562D5A"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Imagining a revolutionary utopia.</w:t>
            </w:r>
          </w:p>
          <w:p w14:paraId="16A00751" w14:textId="77777777" w:rsidR="00187661" w:rsidRPr="00025645" w:rsidRDefault="00187661" w:rsidP="00187661">
            <w:pPr>
              <w:rPr>
                <w:rFonts w:ascii="Arial" w:hAnsi="Arial" w:cs="Arial"/>
                <w:sz w:val="20"/>
                <w:szCs w:val="20"/>
                <w:lang w:val="en-US"/>
              </w:rPr>
            </w:pPr>
            <w:r w:rsidRPr="00025645">
              <w:rPr>
                <w:rFonts w:ascii="Arial" w:hAnsi="Arial" w:cs="Arial"/>
                <w:b/>
                <w:sz w:val="20"/>
                <w:szCs w:val="20"/>
                <w:lang w:val="en-US"/>
              </w:rPr>
              <w:t>Module 2.</w:t>
            </w:r>
            <w:r w:rsidRPr="00025645">
              <w:rPr>
                <w:rFonts w:ascii="Arial" w:hAnsi="Arial" w:cs="Arial"/>
                <w:sz w:val="20"/>
                <w:szCs w:val="20"/>
                <w:lang w:val="en-US"/>
              </w:rPr>
              <w:t xml:space="preserve"> Revolutionary emotions.</w:t>
            </w:r>
          </w:p>
          <w:p w14:paraId="14455F5B" w14:textId="2916C976"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Class hatred.</w:t>
            </w:r>
          </w:p>
          <w:p w14:paraId="4467F0FD" w14:textId="6A3B7FC4"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Disgust of the revolution.</w:t>
            </w:r>
          </w:p>
          <w:p w14:paraId="6294E5F6" w14:textId="07A1827C"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Us and them: revolutionary complications.</w:t>
            </w:r>
          </w:p>
          <w:p w14:paraId="0546F639" w14:textId="5A178153"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Revolutionary romanticism.</w:t>
            </w:r>
          </w:p>
          <w:p w14:paraId="0E6092BF" w14:textId="77777777" w:rsidR="00187661" w:rsidRPr="00025645" w:rsidRDefault="00187661" w:rsidP="00187661">
            <w:pPr>
              <w:rPr>
                <w:rFonts w:ascii="Arial" w:hAnsi="Arial" w:cs="Arial"/>
                <w:sz w:val="20"/>
                <w:szCs w:val="20"/>
                <w:lang w:val="en-US"/>
              </w:rPr>
            </w:pPr>
            <w:r w:rsidRPr="00025645">
              <w:rPr>
                <w:rFonts w:ascii="Arial" w:hAnsi="Arial" w:cs="Arial"/>
                <w:b/>
                <w:sz w:val="20"/>
                <w:szCs w:val="20"/>
                <w:lang w:val="en-US"/>
              </w:rPr>
              <w:t>Module 3</w:t>
            </w:r>
            <w:r w:rsidRPr="00025645">
              <w:rPr>
                <w:rFonts w:ascii="Arial" w:hAnsi="Arial" w:cs="Arial"/>
                <w:sz w:val="20"/>
                <w:szCs w:val="20"/>
                <w:lang w:val="en-US"/>
              </w:rPr>
              <w:t>. Revolutionary forms.</w:t>
            </w:r>
          </w:p>
          <w:p w14:paraId="29EA590B" w14:textId="52C9226B"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Revolutionary forms.</w:t>
            </w:r>
          </w:p>
          <w:p w14:paraId="1E66C28E" w14:textId="093A57D6"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Class literature.</w:t>
            </w:r>
          </w:p>
          <w:p w14:paraId="674286F8" w14:textId="1E4874FA"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The subaltern learns to speak.</w:t>
            </w:r>
          </w:p>
          <w:p w14:paraId="7E40B992" w14:textId="5CBC5231"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Revolutionary order.</w:t>
            </w:r>
          </w:p>
          <w:p w14:paraId="141C224F" w14:textId="3FAA048E" w:rsidR="00187661" w:rsidRPr="00025645" w:rsidRDefault="00187661" w:rsidP="00187661">
            <w:pPr>
              <w:rPr>
                <w:rFonts w:ascii="Arial" w:hAnsi="Arial" w:cs="Arial"/>
                <w:sz w:val="20"/>
                <w:szCs w:val="20"/>
                <w:lang w:val="en-US"/>
              </w:rPr>
            </w:pPr>
            <w:r w:rsidRPr="00025645">
              <w:rPr>
                <w:rFonts w:ascii="Arial" w:hAnsi="Arial" w:cs="Arial"/>
                <w:sz w:val="20"/>
                <w:szCs w:val="20"/>
                <w:lang w:val="en-US"/>
              </w:rPr>
              <w:t>Revolution in the past tense.</w:t>
            </w:r>
          </w:p>
          <w:p w14:paraId="36D576C4" w14:textId="072A6DA2" w:rsidR="00A05504" w:rsidRPr="00025645" w:rsidRDefault="00187661" w:rsidP="00187661">
            <w:pPr>
              <w:rPr>
                <w:rFonts w:ascii="Arial" w:hAnsi="Arial" w:cs="Arial"/>
                <w:sz w:val="20"/>
                <w:szCs w:val="20"/>
                <w:lang w:val="en-US"/>
              </w:rPr>
            </w:pPr>
            <w:r w:rsidRPr="00025645">
              <w:rPr>
                <w:rFonts w:ascii="Arial" w:hAnsi="Arial" w:cs="Arial"/>
                <w:sz w:val="20"/>
                <w:szCs w:val="20"/>
                <w:lang w:val="en-US"/>
              </w:rPr>
              <w:t>The sacred and the revolution.</w:t>
            </w:r>
          </w:p>
        </w:tc>
      </w:tr>
    </w:tbl>
    <w:p w14:paraId="36DF7D44" w14:textId="77777777" w:rsidR="00A05504" w:rsidRPr="00025645" w:rsidRDefault="00A05504" w:rsidP="00A05504">
      <w:pPr>
        <w:pStyle w:val="a3"/>
        <w:rPr>
          <w:rFonts w:ascii="Arial" w:hAnsi="Arial" w:cs="Arial"/>
          <w:sz w:val="20"/>
          <w:szCs w:val="20"/>
          <w:lang w:val="en-US"/>
        </w:rPr>
      </w:pPr>
    </w:p>
    <w:p w14:paraId="235C7F18" w14:textId="5F6DCE2B"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AA56E2" w14:paraId="0FF45479" w14:textId="77777777" w:rsidTr="00102ACA">
        <w:trPr>
          <w:trHeight w:val="503"/>
        </w:trPr>
        <w:tc>
          <w:tcPr>
            <w:tcW w:w="9634" w:type="dxa"/>
          </w:tcPr>
          <w:p w14:paraId="49FDFE85" w14:textId="77777777" w:rsidR="00025645" w:rsidRPr="00DD09DD" w:rsidRDefault="00025645" w:rsidP="00025645">
            <w:pPr>
              <w:rPr>
                <w:rFonts w:ascii="Arial" w:hAnsi="Arial" w:cs="Arial"/>
                <w:b/>
                <w:sz w:val="20"/>
                <w:szCs w:val="20"/>
                <w:lang w:val="en-US"/>
              </w:rPr>
            </w:pPr>
            <w:r w:rsidRPr="00DD09DD">
              <w:rPr>
                <w:rFonts w:ascii="Arial" w:hAnsi="Arial" w:cs="Arial"/>
                <w:b/>
                <w:sz w:val="20"/>
                <w:szCs w:val="20"/>
                <w:lang w:val="en-US"/>
              </w:rPr>
              <w:t>Knowledge:</w:t>
            </w:r>
          </w:p>
          <w:p w14:paraId="301A2024"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knowledge of factual material, including the chronology of the main historical events and their </w:t>
            </w:r>
            <w:proofErr w:type="gramStart"/>
            <w:r w:rsidRPr="00DD09DD">
              <w:rPr>
                <w:rFonts w:ascii="Arial" w:hAnsi="Arial" w:cs="Arial"/>
                <w:sz w:val="20"/>
                <w:szCs w:val="20"/>
                <w:lang w:val="en-US"/>
              </w:rPr>
              <w:t>content;</w:t>
            </w:r>
            <w:proofErr w:type="gramEnd"/>
          </w:p>
          <w:p w14:paraId="754FC729"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to understand the driving forces and laws of the historical process, the place of the individual in the historical process, the political organization of </w:t>
            </w:r>
            <w:proofErr w:type="gramStart"/>
            <w:r w:rsidRPr="00DD09DD">
              <w:rPr>
                <w:rFonts w:ascii="Arial" w:hAnsi="Arial" w:cs="Arial"/>
                <w:sz w:val="20"/>
                <w:szCs w:val="20"/>
                <w:lang w:val="en-US"/>
              </w:rPr>
              <w:t>society;</w:t>
            </w:r>
            <w:proofErr w:type="gramEnd"/>
          </w:p>
          <w:p w14:paraId="1098780B"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knowledge in the field of general and national history.</w:t>
            </w:r>
          </w:p>
          <w:p w14:paraId="4441F31F" w14:textId="77777777" w:rsidR="00025645" w:rsidRPr="00DD09DD" w:rsidRDefault="00025645" w:rsidP="00025645">
            <w:pPr>
              <w:rPr>
                <w:rFonts w:ascii="Arial" w:hAnsi="Arial" w:cs="Arial"/>
                <w:b/>
                <w:sz w:val="20"/>
                <w:szCs w:val="20"/>
                <w:lang w:val="en-US"/>
              </w:rPr>
            </w:pPr>
            <w:r w:rsidRPr="00DD09DD">
              <w:rPr>
                <w:rFonts w:ascii="Arial" w:hAnsi="Arial" w:cs="Arial"/>
                <w:b/>
                <w:sz w:val="20"/>
                <w:szCs w:val="20"/>
                <w:lang w:val="en-US"/>
              </w:rPr>
              <w:t>Skills:</w:t>
            </w:r>
          </w:p>
          <w:p w14:paraId="3118BDC9"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the ability to understand, critically analyze and present historical </w:t>
            </w:r>
            <w:proofErr w:type="gramStart"/>
            <w:r w:rsidRPr="00DD09DD">
              <w:rPr>
                <w:rFonts w:ascii="Arial" w:hAnsi="Arial" w:cs="Arial"/>
                <w:sz w:val="20"/>
                <w:szCs w:val="20"/>
                <w:lang w:val="en-US"/>
              </w:rPr>
              <w:t>information;</w:t>
            </w:r>
            <w:proofErr w:type="gramEnd"/>
          </w:p>
          <w:p w14:paraId="1D35937A"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the ability to logically correctly, reasonably build oral </w:t>
            </w:r>
            <w:proofErr w:type="gramStart"/>
            <w:r w:rsidRPr="00DD09DD">
              <w:rPr>
                <w:rFonts w:ascii="Arial" w:hAnsi="Arial" w:cs="Arial"/>
                <w:sz w:val="20"/>
                <w:szCs w:val="20"/>
                <w:lang w:val="en-US"/>
              </w:rPr>
              <w:t>speech;</w:t>
            </w:r>
            <w:proofErr w:type="gramEnd"/>
          </w:p>
          <w:p w14:paraId="2B675F6D"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the ability to interact on the basis of moral and legal norms accepted in society, to be tolerant towards another </w:t>
            </w:r>
            <w:proofErr w:type="gramStart"/>
            <w:r w:rsidRPr="00DD09DD">
              <w:rPr>
                <w:rFonts w:ascii="Arial" w:hAnsi="Arial" w:cs="Arial"/>
                <w:sz w:val="20"/>
                <w:szCs w:val="20"/>
                <w:lang w:val="en-US"/>
              </w:rPr>
              <w:t>culture</w:t>
            </w:r>
            <w:r>
              <w:rPr>
                <w:rFonts w:ascii="Arial" w:hAnsi="Arial" w:cs="Arial"/>
                <w:sz w:val="20"/>
                <w:szCs w:val="20"/>
                <w:lang w:val="en-US"/>
              </w:rPr>
              <w:t>;</w:t>
            </w:r>
            <w:proofErr w:type="gramEnd"/>
          </w:p>
          <w:p w14:paraId="37C4A39A"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xml:space="preserve">- possess the skills of self-development, improving their qualifications and </w:t>
            </w:r>
            <w:proofErr w:type="gramStart"/>
            <w:r w:rsidRPr="00DD09DD">
              <w:rPr>
                <w:rFonts w:ascii="Arial" w:hAnsi="Arial" w:cs="Arial"/>
                <w:sz w:val="20"/>
                <w:szCs w:val="20"/>
                <w:lang w:val="en-US"/>
              </w:rPr>
              <w:t>skills</w:t>
            </w:r>
            <w:r>
              <w:rPr>
                <w:rFonts w:ascii="Arial" w:hAnsi="Arial" w:cs="Arial"/>
                <w:sz w:val="20"/>
                <w:szCs w:val="20"/>
                <w:lang w:val="en-US"/>
              </w:rPr>
              <w:t>;</w:t>
            </w:r>
            <w:proofErr w:type="gramEnd"/>
          </w:p>
          <w:p w14:paraId="0DC51DF8" w14:textId="77777777" w:rsidR="00025645" w:rsidRPr="00DD09DD" w:rsidRDefault="00025645" w:rsidP="00025645">
            <w:pPr>
              <w:rPr>
                <w:rFonts w:ascii="Arial" w:hAnsi="Arial" w:cs="Arial"/>
                <w:sz w:val="20"/>
                <w:szCs w:val="20"/>
                <w:lang w:val="en-US"/>
              </w:rPr>
            </w:pPr>
            <w:r w:rsidRPr="00DD09DD">
              <w:rPr>
                <w:rFonts w:ascii="Arial" w:hAnsi="Arial" w:cs="Arial"/>
                <w:sz w:val="20"/>
                <w:szCs w:val="20"/>
                <w:lang w:val="en-US"/>
              </w:rPr>
              <w:t>- possess the skills of analyzing socially significant problems and processes</w:t>
            </w:r>
            <w:r>
              <w:rPr>
                <w:rFonts w:ascii="Arial" w:hAnsi="Arial" w:cs="Arial"/>
                <w:sz w:val="20"/>
                <w:szCs w:val="20"/>
                <w:lang w:val="en-US"/>
              </w:rPr>
              <w:t>.</w:t>
            </w:r>
          </w:p>
          <w:p w14:paraId="2159E008" w14:textId="46B94AA4" w:rsidR="00A05504" w:rsidRPr="00025645" w:rsidRDefault="00A05504" w:rsidP="00100E73">
            <w:pPr>
              <w:pStyle w:val="a3"/>
              <w:ind w:left="0"/>
              <w:rPr>
                <w:rFonts w:ascii="Arial" w:hAnsi="Arial" w:cs="Arial"/>
                <w:sz w:val="20"/>
                <w:szCs w:val="20"/>
                <w:lang w:val="en-US"/>
              </w:rPr>
            </w:pPr>
          </w:p>
        </w:tc>
      </w:tr>
    </w:tbl>
    <w:p w14:paraId="128B3039" w14:textId="77777777" w:rsidR="00A05504" w:rsidRPr="00025645" w:rsidRDefault="00A05504" w:rsidP="00A05504">
      <w:pPr>
        <w:pStyle w:val="a3"/>
        <w:rPr>
          <w:rFonts w:ascii="Arial" w:hAnsi="Arial" w:cs="Arial"/>
          <w:sz w:val="20"/>
          <w:szCs w:val="20"/>
          <w:lang w:val="en-US"/>
        </w:rPr>
      </w:pPr>
    </w:p>
    <w:p w14:paraId="46F09758" w14:textId="54A13271"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025645" w14:paraId="2085BD94" w14:textId="77777777" w:rsidTr="00102ACA">
        <w:trPr>
          <w:trHeight w:val="525"/>
        </w:trPr>
        <w:tc>
          <w:tcPr>
            <w:tcW w:w="9634" w:type="dxa"/>
          </w:tcPr>
          <w:p w14:paraId="779A2BCD" w14:textId="77777777" w:rsidR="00102ACA" w:rsidRPr="00025645" w:rsidRDefault="00102ACA" w:rsidP="00102ACA">
            <w:pPr>
              <w:rPr>
                <w:rFonts w:ascii="Arial" w:hAnsi="Arial" w:cs="Arial"/>
                <w:sz w:val="20"/>
                <w:szCs w:val="20"/>
                <w:lang w:val="en-US"/>
              </w:rPr>
            </w:pPr>
            <w:r w:rsidRPr="00025645">
              <w:rPr>
                <w:rFonts w:ascii="Arial" w:hAnsi="Arial" w:cs="Arial"/>
                <w:sz w:val="20"/>
                <w:szCs w:val="20"/>
                <w:lang w:val="en-US"/>
              </w:rPr>
              <w:t>lecture, seminar</w:t>
            </w:r>
          </w:p>
          <w:p w14:paraId="1D354ADD" w14:textId="77777777" w:rsidR="00A05504" w:rsidRPr="00025645" w:rsidRDefault="00A05504" w:rsidP="00100E73">
            <w:pPr>
              <w:pStyle w:val="a3"/>
              <w:ind w:left="0"/>
              <w:rPr>
                <w:rFonts w:ascii="Arial" w:hAnsi="Arial" w:cs="Arial"/>
                <w:sz w:val="20"/>
                <w:szCs w:val="20"/>
              </w:rPr>
            </w:pPr>
          </w:p>
        </w:tc>
      </w:tr>
    </w:tbl>
    <w:p w14:paraId="4718F177" w14:textId="77777777" w:rsidR="00A05504" w:rsidRPr="00025645" w:rsidRDefault="00A05504" w:rsidP="00A05504">
      <w:pPr>
        <w:pStyle w:val="a3"/>
        <w:rPr>
          <w:rFonts w:ascii="Arial" w:hAnsi="Arial" w:cs="Arial"/>
          <w:sz w:val="20"/>
          <w:szCs w:val="20"/>
          <w:lang w:val="en-US"/>
        </w:rPr>
      </w:pPr>
    </w:p>
    <w:p w14:paraId="56ABFEB4" w14:textId="03FE8B68"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025645" w14:paraId="36958F76" w14:textId="77777777" w:rsidTr="00454DEA">
        <w:trPr>
          <w:trHeight w:val="525"/>
        </w:trPr>
        <w:tc>
          <w:tcPr>
            <w:tcW w:w="9634" w:type="dxa"/>
          </w:tcPr>
          <w:p w14:paraId="5F896FDE" w14:textId="17E6D1B6" w:rsidR="00A05504" w:rsidRPr="00025645" w:rsidRDefault="00025645" w:rsidP="00100E73">
            <w:pPr>
              <w:pStyle w:val="a3"/>
              <w:ind w:left="0"/>
              <w:rPr>
                <w:rFonts w:ascii="Arial" w:hAnsi="Arial" w:cs="Arial"/>
                <w:sz w:val="20"/>
                <w:szCs w:val="20"/>
                <w:lang w:val="en-US"/>
              </w:rPr>
            </w:pPr>
            <w:r>
              <w:rPr>
                <w:rFonts w:ascii="Arial" w:hAnsi="Arial" w:cs="Arial"/>
                <w:sz w:val="20"/>
                <w:szCs w:val="20"/>
                <w:lang w:val="en-US"/>
              </w:rPr>
              <w:t>Pass-fail test</w:t>
            </w:r>
          </w:p>
        </w:tc>
      </w:tr>
    </w:tbl>
    <w:p w14:paraId="5736B539" w14:textId="77777777" w:rsidR="00A05504" w:rsidRPr="00025645" w:rsidRDefault="00A05504" w:rsidP="00A05504">
      <w:pPr>
        <w:pStyle w:val="a3"/>
        <w:rPr>
          <w:rFonts w:ascii="Arial" w:hAnsi="Arial" w:cs="Arial"/>
          <w:sz w:val="20"/>
          <w:szCs w:val="20"/>
          <w:lang w:val="en-US"/>
        </w:rPr>
      </w:pPr>
    </w:p>
    <w:p w14:paraId="06A06E77" w14:textId="27CF9A11" w:rsidR="00A925C7" w:rsidRPr="00025645" w:rsidRDefault="00A925C7" w:rsidP="001D4092">
      <w:pPr>
        <w:pStyle w:val="a3"/>
        <w:numPr>
          <w:ilvl w:val="0"/>
          <w:numId w:val="1"/>
        </w:numPr>
        <w:rPr>
          <w:rFonts w:ascii="Arial" w:hAnsi="Arial" w:cs="Arial"/>
          <w:b/>
          <w:bCs/>
          <w:sz w:val="20"/>
          <w:szCs w:val="20"/>
          <w:lang w:val="en-US"/>
        </w:rPr>
      </w:pPr>
      <w:r w:rsidRPr="00025645">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025645" w14:paraId="3708B0FB" w14:textId="77777777" w:rsidTr="00100E73">
        <w:trPr>
          <w:trHeight w:val="777"/>
        </w:trPr>
        <w:tc>
          <w:tcPr>
            <w:tcW w:w="9634" w:type="dxa"/>
          </w:tcPr>
          <w:p w14:paraId="39D2263A" w14:textId="77777777" w:rsidR="00454DEA" w:rsidRPr="00025645" w:rsidRDefault="00454DEA" w:rsidP="00454DEA">
            <w:pPr>
              <w:pStyle w:val="a3"/>
              <w:numPr>
                <w:ilvl w:val="0"/>
                <w:numId w:val="2"/>
              </w:numPr>
              <w:rPr>
                <w:rFonts w:ascii="Arial" w:hAnsi="Arial" w:cs="Arial"/>
                <w:sz w:val="20"/>
                <w:szCs w:val="20"/>
                <w:lang w:val="en-US"/>
              </w:rPr>
            </w:pPr>
            <w:r w:rsidRPr="00025645">
              <w:rPr>
                <w:rFonts w:ascii="Arial" w:hAnsi="Arial" w:cs="Arial"/>
                <w:sz w:val="20"/>
                <w:szCs w:val="20"/>
                <w:lang w:val="en"/>
              </w:rPr>
              <w:t xml:space="preserve">Fedorov A. V. Evolution of the image of the White movement in the domestic and foreign game cinema of the sound period / A.V. Fedorov - </w:t>
            </w:r>
            <w:proofErr w:type="spellStart"/>
            <w:r w:rsidRPr="00025645">
              <w:rPr>
                <w:rFonts w:ascii="Arial" w:hAnsi="Arial" w:cs="Arial"/>
                <w:sz w:val="20"/>
                <w:szCs w:val="20"/>
                <w:lang w:val="en"/>
              </w:rPr>
              <w:t>Izd</w:t>
            </w:r>
            <w:proofErr w:type="spellEnd"/>
            <w:r w:rsidRPr="00025645">
              <w:rPr>
                <w:rFonts w:ascii="Arial" w:hAnsi="Arial" w:cs="Arial"/>
                <w:sz w:val="20"/>
                <w:szCs w:val="20"/>
                <w:lang w:val="en"/>
              </w:rPr>
              <w:t xml:space="preserve">. 2-e, ster. - </w:t>
            </w:r>
            <w:proofErr w:type="spellStart"/>
            <w:r w:rsidRPr="00025645">
              <w:rPr>
                <w:rFonts w:ascii="Arial" w:hAnsi="Arial" w:cs="Arial"/>
                <w:sz w:val="20"/>
                <w:szCs w:val="20"/>
                <w:lang w:val="en"/>
              </w:rPr>
              <w:t>Moscow|Berlin</w:t>
            </w:r>
            <w:proofErr w:type="spellEnd"/>
            <w:r w:rsidRPr="00025645">
              <w:rPr>
                <w:rFonts w:ascii="Arial" w:hAnsi="Arial" w:cs="Arial"/>
                <w:sz w:val="20"/>
                <w:szCs w:val="20"/>
                <w:lang w:val="en"/>
              </w:rPr>
              <w:t xml:space="preserve">: Direct-Media, 2017. - 175 p. </w:t>
            </w:r>
          </w:p>
          <w:p w14:paraId="2501F69F" w14:textId="77777777" w:rsidR="00454DEA" w:rsidRPr="00025645" w:rsidRDefault="00454DEA" w:rsidP="00454DEA">
            <w:pPr>
              <w:pStyle w:val="a3"/>
              <w:numPr>
                <w:ilvl w:val="0"/>
                <w:numId w:val="2"/>
              </w:numPr>
              <w:rPr>
                <w:rFonts w:ascii="Arial" w:hAnsi="Arial" w:cs="Arial"/>
                <w:sz w:val="20"/>
                <w:szCs w:val="20"/>
                <w:lang w:val="en-US"/>
              </w:rPr>
            </w:pPr>
            <w:r w:rsidRPr="00025645">
              <w:rPr>
                <w:rFonts w:ascii="Arial" w:hAnsi="Arial" w:cs="Arial"/>
                <w:sz w:val="20"/>
                <w:szCs w:val="20"/>
                <w:lang w:val="en"/>
              </w:rPr>
              <w:lastRenderedPageBreak/>
              <w:t xml:space="preserve">Pavlov A. V. Tell your children: one hundred and twenty-three experiences about cult cinema: monograph / A.V. Pavlov - 3rd ed., </w:t>
            </w:r>
            <w:proofErr w:type="spellStart"/>
            <w:r w:rsidRPr="00025645">
              <w:rPr>
                <w:rFonts w:ascii="Arial" w:hAnsi="Arial" w:cs="Arial"/>
                <w:sz w:val="20"/>
                <w:szCs w:val="20"/>
                <w:lang w:val="en"/>
              </w:rPr>
              <w:t>pererab</w:t>
            </w:r>
            <w:proofErr w:type="spellEnd"/>
            <w:r w:rsidRPr="00025645">
              <w:rPr>
                <w:rFonts w:ascii="Arial" w:hAnsi="Arial" w:cs="Arial"/>
                <w:sz w:val="20"/>
                <w:szCs w:val="20"/>
                <w:lang w:val="en"/>
              </w:rPr>
              <w:t xml:space="preserve">. and add. - Moscow: Publishing House of the Higher School of Economics, 2020. - 584 p. </w:t>
            </w:r>
          </w:p>
          <w:p w14:paraId="6F2CC58E" w14:textId="23A3C2E9" w:rsidR="00454DEA" w:rsidRPr="00025645" w:rsidRDefault="00454DEA" w:rsidP="00454DEA">
            <w:pPr>
              <w:pStyle w:val="a3"/>
              <w:numPr>
                <w:ilvl w:val="0"/>
                <w:numId w:val="2"/>
              </w:numPr>
              <w:rPr>
                <w:rFonts w:ascii="Arial" w:hAnsi="Arial" w:cs="Arial"/>
                <w:sz w:val="20"/>
                <w:szCs w:val="20"/>
                <w:lang w:val="en-US"/>
              </w:rPr>
            </w:pPr>
            <w:proofErr w:type="spellStart"/>
            <w:r w:rsidRPr="00025645">
              <w:rPr>
                <w:rFonts w:ascii="Arial" w:hAnsi="Arial" w:cs="Arial"/>
                <w:sz w:val="20"/>
                <w:szCs w:val="20"/>
                <w:lang w:val="en"/>
              </w:rPr>
              <w:t>Odoevskiy</w:t>
            </w:r>
            <w:proofErr w:type="spellEnd"/>
            <w:r w:rsidRPr="00025645">
              <w:rPr>
                <w:rFonts w:ascii="Arial" w:hAnsi="Arial" w:cs="Arial"/>
                <w:sz w:val="20"/>
                <w:szCs w:val="20"/>
                <w:lang w:val="en"/>
              </w:rPr>
              <w:t xml:space="preserve"> V. F. O </w:t>
            </w:r>
            <w:proofErr w:type="spellStart"/>
            <w:r w:rsidRPr="00025645">
              <w:rPr>
                <w:rFonts w:ascii="Arial" w:hAnsi="Arial" w:cs="Arial"/>
                <w:sz w:val="20"/>
                <w:szCs w:val="20"/>
                <w:lang w:val="en"/>
              </w:rPr>
              <w:t>iskustreve</w:t>
            </w:r>
            <w:proofErr w:type="spellEnd"/>
            <w:r w:rsidRPr="00025645">
              <w:rPr>
                <w:rFonts w:ascii="Arial" w:hAnsi="Arial" w:cs="Arial"/>
                <w:sz w:val="20"/>
                <w:szCs w:val="20"/>
                <w:lang w:val="en"/>
              </w:rPr>
              <w:t xml:space="preserve"> </w:t>
            </w:r>
            <w:proofErr w:type="spellStart"/>
            <w:r w:rsidRPr="00025645">
              <w:rPr>
                <w:rFonts w:ascii="Arial" w:hAnsi="Arial" w:cs="Arial"/>
                <w:sz w:val="20"/>
                <w:szCs w:val="20"/>
                <w:lang w:val="en"/>
              </w:rPr>
              <w:t>i</w:t>
            </w:r>
            <w:proofErr w:type="spellEnd"/>
            <w:r w:rsidRPr="00025645">
              <w:rPr>
                <w:rFonts w:ascii="Arial" w:hAnsi="Arial" w:cs="Arial"/>
                <w:sz w:val="20"/>
                <w:szCs w:val="20"/>
                <w:lang w:val="en"/>
              </w:rPr>
              <w:t xml:space="preserve"> </w:t>
            </w:r>
            <w:proofErr w:type="spellStart"/>
            <w:r w:rsidRPr="00025645">
              <w:rPr>
                <w:rFonts w:ascii="Arial" w:hAnsi="Arial" w:cs="Arial"/>
                <w:sz w:val="20"/>
                <w:szCs w:val="20"/>
                <w:lang w:val="en"/>
              </w:rPr>
              <w:t>iskusstvigo</w:t>
            </w:r>
            <w:proofErr w:type="spellEnd"/>
            <w:r w:rsidRPr="00025645">
              <w:rPr>
                <w:rFonts w:ascii="Arial" w:hAnsi="Arial" w:cs="Arial"/>
                <w:sz w:val="20"/>
                <w:szCs w:val="20"/>
                <w:lang w:val="en"/>
              </w:rPr>
              <w:t xml:space="preserve"> / V.F. </w:t>
            </w:r>
            <w:proofErr w:type="spellStart"/>
            <w:r w:rsidRPr="00025645">
              <w:rPr>
                <w:rFonts w:ascii="Arial" w:hAnsi="Arial" w:cs="Arial"/>
                <w:sz w:val="20"/>
                <w:szCs w:val="20"/>
                <w:lang w:val="en"/>
              </w:rPr>
              <w:t>Odoevskiy</w:t>
            </w:r>
            <w:proofErr w:type="spellEnd"/>
            <w:r w:rsidRPr="00025645">
              <w:rPr>
                <w:rFonts w:ascii="Arial" w:hAnsi="Arial" w:cs="Arial"/>
                <w:sz w:val="20"/>
                <w:szCs w:val="20"/>
                <w:lang w:val="en"/>
              </w:rPr>
              <w:t xml:space="preserve"> - Moskva: </w:t>
            </w:r>
            <w:proofErr w:type="spellStart"/>
            <w:r w:rsidRPr="00025645">
              <w:rPr>
                <w:rFonts w:ascii="Arial" w:hAnsi="Arial" w:cs="Arial"/>
                <w:sz w:val="20"/>
                <w:szCs w:val="20"/>
                <w:lang w:val="en"/>
              </w:rPr>
              <w:t>Direkt</w:t>
            </w:r>
            <w:proofErr w:type="spellEnd"/>
            <w:r w:rsidRPr="00025645">
              <w:rPr>
                <w:rFonts w:ascii="Arial" w:hAnsi="Arial" w:cs="Arial"/>
                <w:sz w:val="20"/>
                <w:szCs w:val="20"/>
                <w:lang w:val="en"/>
              </w:rPr>
              <w:t>-Media, 2012. - 269 p.</w:t>
            </w:r>
          </w:p>
          <w:p w14:paraId="0C9DB2D1" w14:textId="5C7934E4" w:rsidR="00454DEA" w:rsidRPr="00025645" w:rsidRDefault="00454DEA" w:rsidP="00454DEA">
            <w:pPr>
              <w:pStyle w:val="a3"/>
              <w:numPr>
                <w:ilvl w:val="0"/>
                <w:numId w:val="2"/>
              </w:numPr>
              <w:rPr>
                <w:rFonts w:ascii="Arial" w:hAnsi="Arial" w:cs="Arial"/>
                <w:sz w:val="20"/>
                <w:szCs w:val="20"/>
                <w:lang w:val="en-US"/>
              </w:rPr>
            </w:pPr>
            <w:r w:rsidRPr="00025645">
              <w:rPr>
                <w:rFonts w:ascii="Arial" w:hAnsi="Arial" w:cs="Arial"/>
                <w:sz w:val="20"/>
                <w:szCs w:val="20"/>
                <w:lang w:val="en"/>
              </w:rPr>
              <w:t>Mikheeva Y. V. Aesthetics of sound in the Soviet and post-Soviet cinema [</w:t>
            </w:r>
            <w:proofErr w:type="spellStart"/>
            <w:r w:rsidRPr="00025645">
              <w:rPr>
                <w:rFonts w:ascii="Arial" w:hAnsi="Arial" w:cs="Arial"/>
                <w:sz w:val="20"/>
                <w:szCs w:val="20"/>
                <w:lang w:val="en"/>
              </w:rPr>
              <w:t>Elek</w:t>
            </w:r>
            <w:proofErr w:type="spellEnd"/>
            <w:r w:rsidRPr="00025645">
              <w:rPr>
                <w:rFonts w:ascii="Arial" w:hAnsi="Arial" w:cs="Arial"/>
                <w:sz w:val="20"/>
                <w:szCs w:val="20"/>
                <w:lang w:val="en"/>
              </w:rPr>
              <w:t xml:space="preserve"> throne resource] / Mikheeva Y. V. - Moskva: VGIK im. S.A. Gerasimova, 20 16. - 241 p. </w:t>
            </w:r>
          </w:p>
          <w:p w14:paraId="248FADBB" w14:textId="666CCD52" w:rsidR="00A05504" w:rsidRPr="00025645" w:rsidRDefault="00A05504" w:rsidP="00100E73">
            <w:pPr>
              <w:pStyle w:val="a3"/>
              <w:ind w:left="0"/>
              <w:rPr>
                <w:rFonts w:ascii="Arial" w:hAnsi="Arial" w:cs="Arial"/>
                <w:sz w:val="20"/>
                <w:szCs w:val="20"/>
                <w:lang w:val="en-US"/>
              </w:rPr>
            </w:pPr>
          </w:p>
        </w:tc>
      </w:tr>
    </w:tbl>
    <w:p w14:paraId="625651DE" w14:textId="77777777" w:rsidR="00A05504" w:rsidRPr="00025645" w:rsidRDefault="00A05504" w:rsidP="00A05504">
      <w:pPr>
        <w:pStyle w:val="a3"/>
        <w:rPr>
          <w:rFonts w:ascii="Arial" w:hAnsi="Arial" w:cs="Arial"/>
          <w:sz w:val="20"/>
          <w:szCs w:val="20"/>
          <w:lang w:val="en-US"/>
        </w:rPr>
      </w:pPr>
    </w:p>
    <w:p w14:paraId="155C26A3" w14:textId="0B42F609" w:rsidR="00A925C7" w:rsidRPr="00025645" w:rsidRDefault="00A925C7" w:rsidP="00A925C7">
      <w:pPr>
        <w:pStyle w:val="a3"/>
        <w:rPr>
          <w:rFonts w:ascii="Arial" w:hAnsi="Arial" w:cs="Arial"/>
          <w:sz w:val="20"/>
          <w:szCs w:val="20"/>
          <w:lang w:val="en-US"/>
        </w:rPr>
      </w:pPr>
    </w:p>
    <w:p w14:paraId="22E5814D" w14:textId="599E2C21" w:rsidR="00A925C7" w:rsidRPr="00025645" w:rsidRDefault="00A925C7" w:rsidP="00A925C7">
      <w:pPr>
        <w:pStyle w:val="a3"/>
        <w:rPr>
          <w:rFonts w:ascii="Arial" w:hAnsi="Arial" w:cs="Arial"/>
          <w:sz w:val="20"/>
          <w:szCs w:val="20"/>
          <w:lang w:val="en-US"/>
        </w:rPr>
      </w:pPr>
    </w:p>
    <w:p w14:paraId="240FE0EE" w14:textId="77777777" w:rsidR="00A925C7" w:rsidRPr="00025645" w:rsidRDefault="00A925C7" w:rsidP="00A925C7">
      <w:pPr>
        <w:pStyle w:val="a3"/>
        <w:rPr>
          <w:rFonts w:ascii="Arial" w:hAnsi="Arial" w:cs="Arial"/>
          <w:sz w:val="20"/>
          <w:szCs w:val="20"/>
          <w:lang w:val="en-US"/>
        </w:rPr>
      </w:pPr>
    </w:p>
    <w:sectPr w:rsidR="00A925C7" w:rsidRPr="0002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BA2"/>
    <w:multiLevelType w:val="hybridMultilevel"/>
    <w:tmpl w:val="2FEA898E"/>
    <w:lvl w:ilvl="0" w:tplc="D286D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1"/>
  </w:num>
  <w:num w:numId="2" w16cid:durableId="82647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25645"/>
    <w:rsid w:val="000D3793"/>
    <w:rsid w:val="00102ACA"/>
    <w:rsid w:val="00115BFF"/>
    <w:rsid w:val="00187661"/>
    <w:rsid w:val="001972CC"/>
    <w:rsid w:val="001D4092"/>
    <w:rsid w:val="002535AE"/>
    <w:rsid w:val="00257892"/>
    <w:rsid w:val="002E6CD5"/>
    <w:rsid w:val="00345E1C"/>
    <w:rsid w:val="00372C66"/>
    <w:rsid w:val="00454DEA"/>
    <w:rsid w:val="004D5CB9"/>
    <w:rsid w:val="005616C4"/>
    <w:rsid w:val="00576AE4"/>
    <w:rsid w:val="00713C22"/>
    <w:rsid w:val="00753530"/>
    <w:rsid w:val="0085212A"/>
    <w:rsid w:val="00994CB7"/>
    <w:rsid w:val="00997864"/>
    <w:rsid w:val="00A05504"/>
    <w:rsid w:val="00A05BE3"/>
    <w:rsid w:val="00A925C7"/>
    <w:rsid w:val="00AA56E2"/>
    <w:rsid w:val="00B1381B"/>
    <w:rsid w:val="00B5000C"/>
    <w:rsid w:val="00BD2C0F"/>
    <w:rsid w:val="00D55A4E"/>
    <w:rsid w:val="00E0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000C"/>
    <w:rPr>
      <w:color w:val="0563C1" w:themeColor="hyperlink"/>
      <w:u w:val="single"/>
    </w:rPr>
  </w:style>
  <w:style w:type="character" w:styleId="a6">
    <w:name w:val="Unresolved Mention"/>
    <w:basedOn w:val="a0"/>
    <w:uiPriority w:val="99"/>
    <w:semiHidden/>
    <w:unhideWhenUsed/>
    <w:rsid w:val="00B5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golube@central.u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35</cp:revision>
  <dcterms:created xsi:type="dcterms:W3CDTF">2022-04-25T06:00:00Z</dcterms:created>
  <dcterms:modified xsi:type="dcterms:W3CDTF">2022-10-19T13:15:00Z</dcterms:modified>
</cp:coreProperties>
</file>