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CB2FD0" w14:paraId="4B78CA8F" w14:textId="77777777" w:rsidTr="00CB2FD0">
        <w:trPr>
          <w:trHeight w:val="1559"/>
        </w:trPr>
        <w:tc>
          <w:tcPr>
            <w:tcW w:w="3407" w:type="dxa"/>
            <w:tcBorders>
              <w:top w:val="nil"/>
              <w:left w:val="nil"/>
              <w:bottom w:val="nil"/>
              <w:right w:val="nil"/>
            </w:tcBorders>
            <w:hideMark/>
          </w:tcPr>
          <w:p w14:paraId="15DFF7E6" w14:textId="2129C0B8" w:rsidR="00CB2FD0" w:rsidRDefault="00CB2FD0">
            <w:r>
              <w:rPr>
                <w:noProof/>
              </w:rPr>
              <w:drawing>
                <wp:anchor distT="0" distB="0" distL="114300" distR="114300" simplePos="0" relativeHeight="251659264" behindDoc="0" locked="0" layoutInCell="1" allowOverlap="1" wp14:anchorId="3E4FC907" wp14:editId="55D9D769">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tc>
        <w:tc>
          <w:tcPr>
            <w:tcW w:w="6510" w:type="dxa"/>
            <w:tcBorders>
              <w:top w:val="nil"/>
              <w:left w:val="nil"/>
              <w:bottom w:val="nil"/>
              <w:right w:val="nil"/>
            </w:tcBorders>
            <w:vAlign w:val="center"/>
            <w:hideMark/>
          </w:tcPr>
          <w:p w14:paraId="4C35EAAD" w14:textId="77777777" w:rsidR="00CB2FD0" w:rsidRDefault="00CB2FD0">
            <w:pPr>
              <w:jc w:val="center"/>
              <w:rPr>
                <w:rFonts w:ascii="Arial" w:hAnsi="Arial" w:cs="Arial"/>
                <w:b/>
                <w:bCs/>
                <w:sz w:val="44"/>
                <w:szCs w:val="44"/>
                <w:lang w:val="en-US"/>
              </w:rPr>
            </w:pPr>
            <w:r>
              <w:rPr>
                <w:rFonts w:ascii="Arial" w:hAnsi="Arial" w:cs="Arial"/>
                <w:b/>
                <w:bCs/>
                <w:sz w:val="32"/>
                <w:szCs w:val="32"/>
                <w:lang w:val="en-US"/>
              </w:rPr>
              <w:t>Course Syllabus</w:t>
            </w:r>
          </w:p>
        </w:tc>
      </w:tr>
    </w:tbl>
    <w:p w14:paraId="40F99770" w14:textId="423372F6" w:rsidR="00D55A4E" w:rsidRPr="003B68D0" w:rsidRDefault="00D55A4E">
      <w:pPr>
        <w:rPr>
          <w:rFonts w:cstheme="minorHAnsi"/>
        </w:rPr>
      </w:pPr>
    </w:p>
    <w:p w14:paraId="6CCB086E" w14:textId="5CB951DC" w:rsidR="00D55A4E" w:rsidRPr="00CB2FD0" w:rsidRDefault="00D55A4E" w:rsidP="00F85C8F">
      <w:pPr>
        <w:pStyle w:val="a3"/>
        <w:numPr>
          <w:ilvl w:val="0"/>
          <w:numId w:val="1"/>
        </w:numPr>
        <w:spacing w:line="360" w:lineRule="auto"/>
        <w:rPr>
          <w:rFonts w:ascii="Arial" w:hAnsi="Arial" w:cs="Arial"/>
          <w:b/>
          <w:bCs/>
          <w:sz w:val="20"/>
          <w:szCs w:val="20"/>
        </w:rPr>
      </w:pPr>
      <w:r w:rsidRPr="00CB2FD0">
        <w:rPr>
          <w:rFonts w:ascii="Arial" w:hAnsi="Arial" w:cs="Arial"/>
          <w:b/>
          <w:bCs/>
          <w:sz w:val="20"/>
          <w:szCs w:val="20"/>
          <w:lang w:val="en-US"/>
        </w:rPr>
        <w:t>Course Title</w:t>
      </w:r>
      <w:r w:rsidRPr="00CB2FD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CB2FD0" w14:paraId="66475ED8" w14:textId="77777777" w:rsidTr="003B68D0">
        <w:trPr>
          <w:trHeight w:val="519"/>
        </w:trPr>
        <w:tc>
          <w:tcPr>
            <w:tcW w:w="9634" w:type="dxa"/>
          </w:tcPr>
          <w:p w14:paraId="195B7FED" w14:textId="65F91D5F" w:rsidR="00257892" w:rsidRPr="00CB2FD0" w:rsidRDefault="00B833B4" w:rsidP="00D55A4E">
            <w:pPr>
              <w:pStyle w:val="a3"/>
              <w:ind w:left="0"/>
              <w:rPr>
                <w:rFonts w:ascii="Arial" w:hAnsi="Arial" w:cs="Arial"/>
                <w:sz w:val="20"/>
                <w:szCs w:val="20"/>
                <w:lang w:val="en-US"/>
              </w:rPr>
            </w:pPr>
            <w:bookmarkStart w:id="0" w:name="_Hlk101769815"/>
            <w:r w:rsidRPr="00CB2FD0">
              <w:rPr>
                <w:rFonts w:ascii="Arial" w:hAnsi="Arial" w:cs="Arial"/>
                <w:sz w:val="20"/>
                <w:szCs w:val="20"/>
                <w:lang w:val="en-US"/>
              </w:rPr>
              <w:t>Modern history of Latin America</w:t>
            </w:r>
          </w:p>
        </w:tc>
      </w:tr>
      <w:bookmarkEnd w:id="0"/>
    </w:tbl>
    <w:p w14:paraId="5C505587" w14:textId="1409DBFA" w:rsidR="00D55A4E" w:rsidRPr="00CB2FD0" w:rsidRDefault="00D55A4E" w:rsidP="00D55A4E">
      <w:pPr>
        <w:pStyle w:val="a3"/>
        <w:rPr>
          <w:rFonts w:ascii="Arial" w:hAnsi="Arial" w:cs="Arial"/>
          <w:sz w:val="20"/>
          <w:szCs w:val="20"/>
          <w:lang w:val="en-US"/>
        </w:rPr>
      </w:pPr>
    </w:p>
    <w:p w14:paraId="58A4C43B" w14:textId="1506838B" w:rsidR="00345E1C" w:rsidRPr="00CB2FD0" w:rsidRDefault="00345E1C" w:rsidP="001D4092">
      <w:pPr>
        <w:pStyle w:val="a3"/>
        <w:numPr>
          <w:ilvl w:val="0"/>
          <w:numId w:val="1"/>
        </w:numPr>
        <w:rPr>
          <w:rFonts w:ascii="Arial" w:hAnsi="Arial" w:cs="Arial"/>
          <w:b/>
          <w:bCs/>
          <w:sz w:val="20"/>
          <w:szCs w:val="20"/>
        </w:rPr>
      </w:pPr>
      <w:r w:rsidRPr="00CB2FD0">
        <w:rPr>
          <w:rFonts w:ascii="Arial" w:hAnsi="Arial" w:cs="Arial"/>
          <w:b/>
          <w:bCs/>
          <w:sz w:val="20"/>
          <w:szCs w:val="20"/>
        </w:rPr>
        <w:t>Academic Level:</w:t>
      </w:r>
    </w:p>
    <w:tbl>
      <w:tblPr>
        <w:tblStyle w:val="a4"/>
        <w:tblW w:w="0" w:type="auto"/>
        <w:tblInd w:w="-289" w:type="dxa"/>
        <w:tblLook w:val="04A0" w:firstRow="1" w:lastRow="0" w:firstColumn="1" w:lastColumn="0" w:noHBand="0" w:noVBand="1"/>
      </w:tblPr>
      <w:tblGrid>
        <w:gridCol w:w="9634"/>
      </w:tblGrid>
      <w:tr w:rsidR="00345E1C" w:rsidRPr="00CB2FD0" w14:paraId="7BA167CB" w14:textId="77777777" w:rsidTr="00994CB7">
        <w:trPr>
          <w:trHeight w:val="467"/>
        </w:trPr>
        <w:tc>
          <w:tcPr>
            <w:tcW w:w="9634" w:type="dxa"/>
          </w:tcPr>
          <w:p w14:paraId="31C55D84" w14:textId="525ADB19" w:rsidR="004D5CB9" w:rsidRPr="00CB2FD0" w:rsidRDefault="004D5CB9" w:rsidP="00100E73">
            <w:pPr>
              <w:pStyle w:val="a3"/>
              <w:ind w:left="0"/>
              <w:rPr>
                <w:rFonts w:ascii="Arial" w:hAnsi="Arial" w:cs="Arial"/>
                <w:sz w:val="20"/>
                <w:szCs w:val="20"/>
              </w:rPr>
            </w:pPr>
            <w:bookmarkStart w:id="1" w:name="_Hlk101769871"/>
            <w:r w:rsidRPr="00CB2FD0">
              <w:rPr>
                <w:rFonts w:ascii="Arial" w:hAnsi="Arial" w:cs="Arial"/>
                <w:sz w:val="20"/>
                <w:szCs w:val="20"/>
              </w:rPr>
              <w:t>Master</w:t>
            </w:r>
          </w:p>
        </w:tc>
      </w:tr>
      <w:bookmarkEnd w:id="1"/>
    </w:tbl>
    <w:p w14:paraId="0A8D478D" w14:textId="77777777" w:rsidR="00345E1C" w:rsidRPr="00CB2FD0" w:rsidRDefault="00345E1C" w:rsidP="00345E1C">
      <w:pPr>
        <w:pStyle w:val="a3"/>
        <w:rPr>
          <w:rFonts w:ascii="Arial" w:hAnsi="Arial" w:cs="Arial"/>
          <w:sz w:val="20"/>
          <w:szCs w:val="20"/>
        </w:rPr>
      </w:pPr>
    </w:p>
    <w:p w14:paraId="323EAA1A" w14:textId="62897932" w:rsidR="00BD2C0F" w:rsidRPr="00CB2FD0" w:rsidRDefault="00BD2C0F" w:rsidP="001D4092">
      <w:pPr>
        <w:pStyle w:val="a3"/>
        <w:numPr>
          <w:ilvl w:val="0"/>
          <w:numId w:val="1"/>
        </w:numPr>
        <w:rPr>
          <w:rFonts w:ascii="Arial" w:hAnsi="Arial" w:cs="Arial"/>
          <w:b/>
          <w:bCs/>
          <w:sz w:val="20"/>
          <w:szCs w:val="20"/>
        </w:rPr>
      </w:pPr>
      <w:r w:rsidRPr="00CB2FD0">
        <w:rPr>
          <w:rFonts w:ascii="Arial" w:hAnsi="Arial" w:cs="Arial"/>
          <w:b/>
          <w:bCs/>
          <w:sz w:val="20"/>
          <w:szCs w:val="20"/>
        </w:rPr>
        <w:t xml:space="preserve">ECTS Credits: </w:t>
      </w:r>
    </w:p>
    <w:tbl>
      <w:tblPr>
        <w:tblStyle w:val="a4"/>
        <w:tblW w:w="0" w:type="auto"/>
        <w:tblInd w:w="-289" w:type="dxa"/>
        <w:tblLook w:val="04A0" w:firstRow="1" w:lastRow="0" w:firstColumn="1" w:lastColumn="0" w:noHBand="0" w:noVBand="1"/>
      </w:tblPr>
      <w:tblGrid>
        <w:gridCol w:w="9634"/>
      </w:tblGrid>
      <w:tr w:rsidR="00BD2C0F" w:rsidRPr="00CB2FD0" w14:paraId="14B64FB5" w14:textId="77777777" w:rsidTr="00994CB7">
        <w:trPr>
          <w:trHeight w:val="385"/>
        </w:trPr>
        <w:tc>
          <w:tcPr>
            <w:tcW w:w="9634" w:type="dxa"/>
          </w:tcPr>
          <w:p w14:paraId="77B5CE3F" w14:textId="1C1EAD7B" w:rsidR="00BD2C0F" w:rsidRPr="00CB2FD0" w:rsidRDefault="008E220C" w:rsidP="00100E73">
            <w:pPr>
              <w:pStyle w:val="a3"/>
              <w:ind w:left="0"/>
              <w:rPr>
                <w:rFonts w:ascii="Arial" w:hAnsi="Arial" w:cs="Arial"/>
                <w:sz w:val="20"/>
                <w:szCs w:val="20"/>
              </w:rPr>
            </w:pPr>
            <w:bookmarkStart w:id="2" w:name="_Hlk101769914"/>
            <w:r w:rsidRPr="00CB2FD0">
              <w:rPr>
                <w:rFonts w:ascii="Arial" w:hAnsi="Arial" w:cs="Arial"/>
                <w:sz w:val="20"/>
                <w:szCs w:val="20"/>
              </w:rPr>
              <w:t>2</w:t>
            </w:r>
            <w:r w:rsidR="00994CB7" w:rsidRPr="00CB2FD0">
              <w:rPr>
                <w:rFonts w:ascii="Arial" w:hAnsi="Arial" w:cs="Arial"/>
                <w:sz w:val="20"/>
                <w:szCs w:val="20"/>
                <w:lang w:val="en-US"/>
              </w:rPr>
              <w:t xml:space="preserve"> ECTS</w:t>
            </w:r>
          </w:p>
        </w:tc>
      </w:tr>
      <w:bookmarkEnd w:id="2"/>
    </w:tbl>
    <w:p w14:paraId="3A1ACB52" w14:textId="29107227" w:rsidR="00BD2C0F" w:rsidRPr="00CB2FD0" w:rsidRDefault="00BD2C0F" w:rsidP="00BD2C0F">
      <w:pPr>
        <w:rPr>
          <w:rFonts w:ascii="Arial" w:hAnsi="Arial" w:cs="Arial"/>
          <w:sz w:val="20"/>
          <w:szCs w:val="20"/>
        </w:rPr>
      </w:pPr>
    </w:p>
    <w:p w14:paraId="76F7F950" w14:textId="2582DA14" w:rsidR="00BD2C0F" w:rsidRPr="00CB2FD0" w:rsidRDefault="001D4092" w:rsidP="00BD2C0F">
      <w:pPr>
        <w:pStyle w:val="a3"/>
        <w:numPr>
          <w:ilvl w:val="0"/>
          <w:numId w:val="1"/>
        </w:numPr>
        <w:rPr>
          <w:rFonts w:ascii="Arial" w:hAnsi="Arial" w:cs="Arial"/>
          <w:b/>
          <w:bCs/>
          <w:sz w:val="20"/>
          <w:szCs w:val="20"/>
        </w:rPr>
      </w:pPr>
      <w:r w:rsidRPr="00CB2FD0">
        <w:rPr>
          <w:rFonts w:ascii="Arial" w:hAnsi="Arial" w:cs="Arial"/>
          <w:b/>
          <w:bCs/>
          <w:sz w:val="20"/>
          <w:szCs w:val="20"/>
        </w:rPr>
        <w:t>Semester:</w:t>
      </w:r>
    </w:p>
    <w:tbl>
      <w:tblPr>
        <w:tblStyle w:val="a4"/>
        <w:tblW w:w="0" w:type="auto"/>
        <w:tblInd w:w="-289" w:type="dxa"/>
        <w:tblLook w:val="04A0" w:firstRow="1" w:lastRow="0" w:firstColumn="1" w:lastColumn="0" w:noHBand="0" w:noVBand="1"/>
      </w:tblPr>
      <w:tblGrid>
        <w:gridCol w:w="9634"/>
      </w:tblGrid>
      <w:tr w:rsidR="001D4092" w:rsidRPr="00CB2FD0" w14:paraId="311FB479" w14:textId="77777777" w:rsidTr="002E6CD5">
        <w:trPr>
          <w:trHeight w:val="541"/>
        </w:trPr>
        <w:tc>
          <w:tcPr>
            <w:tcW w:w="9634" w:type="dxa"/>
          </w:tcPr>
          <w:p w14:paraId="4AC63658" w14:textId="55D83453" w:rsidR="001D4092" w:rsidRPr="00CB2FD0" w:rsidRDefault="003B68D0" w:rsidP="00100E73">
            <w:pPr>
              <w:pStyle w:val="a3"/>
              <w:ind w:left="0"/>
              <w:rPr>
                <w:rFonts w:ascii="Arial" w:hAnsi="Arial" w:cs="Arial"/>
                <w:sz w:val="20"/>
                <w:szCs w:val="20"/>
              </w:rPr>
            </w:pPr>
            <w:bookmarkStart w:id="3" w:name="_Hlk101769966"/>
            <w:r w:rsidRPr="00CB2FD0">
              <w:rPr>
                <w:rFonts w:ascii="Arial" w:hAnsi="Arial" w:cs="Arial"/>
                <w:sz w:val="20"/>
                <w:szCs w:val="20"/>
                <w:lang w:val="en-US"/>
              </w:rPr>
              <w:t>2</w:t>
            </w:r>
            <w:r w:rsidR="002E6CD5" w:rsidRPr="00CB2FD0">
              <w:rPr>
                <w:rFonts w:ascii="Arial" w:hAnsi="Arial" w:cs="Arial"/>
                <w:sz w:val="20"/>
                <w:szCs w:val="20"/>
              </w:rPr>
              <w:t xml:space="preserve">, </w:t>
            </w:r>
            <w:r w:rsidR="008E220C" w:rsidRPr="00CB2FD0">
              <w:rPr>
                <w:rFonts w:ascii="Arial" w:hAnsi="Arial" w:cs="Arial"/>
                <w:sz w:val="20"/>
                <w:szCs w:val="20"/>
                <w:lang w:val="en-US"/>
              </w:rPr>
              <w:t>spring</w:t>
            </w:r>
            <w:r w:rsidR="002E6CD5" w:rsidRPr="00CB2FD0">
              <w:rPr>
                <w:rFonts w:ascii="Arial" w:hAnsi="Arial" w:cs="Arial"/>
                <w:sz w:val="20"/>
                <w:szCs w:val="20"/>
              </w:rPr>
              <w:t xml:space="preserve"> semester</w:t>
            </w:r>
          </w:p>
        </w:tc>
      </w:tr>
      <w:bookmarkEnd w:id="3"/>
    </w:tbl>
    <w:p w14:paraId="27F4FC0C" w14:textId="35F136CD" w:rsidR="001D4092" w:rsidRPr="00CB2FD0" w:rsidRDefault="001D4092" w:rsidP="001D4092">
      <w:pPr>
        <w:rPr>
          <w:rFonts w:ascii="Arial" w:hAnsi="Arial" w:cs="Arial"/>
          <w:sz w:val="20"/>
          <w:szCs w:val="20"/>
        </w:rPr>
      </w:pPr>
    </w:p>
    <w:p w14:paraId="25BCCCD4" w14:textId="7ABA2861" w:rsidR="001D4092" w:rsidRPr="00CB2FD0" w:rsidRDefault="001D4092" w:rsidP="001D4092">
      <w:pPr>
        <w:pStyle w:val="a3"/>
        <w:numPr>
          <w:ilvl w:val="0"/>
          <w:numId w:val="1"/>
        </w:numPr>
        <w:rPr>
          <w:rFonts w:ascii="Arial" w:hAnsi="Arial" w:cs="Arial"/>
          <w:b/>
          <w:bCs/>
          <w:sz w:val="20"/>
          <w:szCs w:val="20"/>
        </w:rPr>
      </w:pPr>
      <w:r w:rsidRPr="00CB2FD0">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CB2FD0" w14:paraId="1316B365" w14:textId="77777777" w:rsidTr="00A05BE3">
        <w:trPr>
          <w:trHeight w:val="478"/>
        </w:trPr>
        <w:tc>
          <w:tcPr>
            <w:tcW w:w="9634" w:type="dxa"/>
          </w:tcPr>
          <w:p w14:paraId="5E7FD833" w14:textId="77777777" w:rsidR="00A05BE3" w:rsidRPr="00CB2FD0" w:rsidRDefault="00A05BE3" w:rsidP="00A05BE3">
            <w:pPr>
              <w:rPr>
                <w:rFonts w:ascii="Arial" w:hAnsi="Arial" w:cs="Arial"/>
                <w:sz w:val="20"/>
                <w:szCs w:val="20"/>
                <w:lang w:val="en-US"/>
              </w:rPr>
            </w:pPr>
            <w:bookmarkStart w:id="4" w:name="_Hlk101770218"/>
            <w:r w:rsidRPr="00CB2FD0">
              <w:rPr>
                <w:rFonts w:ascii="Arial" w:hAnsi="Arial" w:cs="Arial"/>
                <w:sz w:val="20"/>
                <w:szCs w:val="20"/>
                <w:lang w:val="en-US"/>
              </w:rPr>
              <w:t>Institute of History and International Relations</w:t>
            </w:r>
          </w:p>
          <w:p w14:paraId="4123BD01" w14:textId="77777777" w:rsidR="001D4092" w:rsidRPr="00CB2FD0" w:rsidRDefault="001D4092" w:rsidP="00100E73">
            <w:pPr>
              <w:pStyle w:val="a3"/>
              <w:ind w:left="0"/>
              <w:rPr>
                <w:rFonts w:ascii="Arial" w:hAnsi="Arial" w:cs="Arial"/>
                <w:sz w:val="20"/>
                <w:szCs w:val="20"/>
                <w:lang w:val="en-US"/>
              </w:rPr>
            </w:pPr>
          </w:p>
        </w:tc>
      </w:tr>
      <w:bookmarkEnd w:id="4"/>
    </w:tbl>
    <w:p w14:paraId="05CA5E9D" w14:textId="68ECEFF9" w:rsidR="001D4092" w:rsidRPr="00CB2FD0" w:rsidRDefault="001D4092" w:rsidP="001D4092">
      <w:pPr>
        <w:rPr>
          <w:rFonts w:ascii="Arial" w:hAnsi="Arial" w:cs="Arial"/>
          <w:sz w:val="20"/>
          <w:szCs w:val="20"/>
          <w:lang w:val="en-US"/>
        </w:rPr>
      </w:pPr>
    </w:p>
    <w:p w14:paraId="64BF0BD5" w14:textId="1FDBF5ED" w:rsidR="001D4092" w:rsidRPr="00CB2FD0" w:rsidRDefault="00A925C7" w:rsidP="001D4092">
      <w:pPr>
        <w:pStyle w:val="a3"/>
        <w:numPr>
          <w:ilvl w:val="0"/>
          <w:numId w:val="1"/>
        </w:numPr>
        <w:rPr>
          <w:rFonts w:ascii="Arial" w:hAnsi="Arial" w:cs="Arial"/>
          <w:b/>
          <w:bCs/>
          <w:sz w:val="20"/>
          <w:szCs w:val="20"/>
        </w:rPr>
      </w:pPr>
      <w:r w:rsidRPr="00CB2FD0">
        <w:rPr>
          <w:rFonts w:ascii="Arial" w:hAnsi="Arial" w:cs="Arial"/>
          <w:b/>
          <w:bCs/>
          <w:sz w:val="20"/>
          <w:szCs w:val="20"/>
        </w:rPr>
        <w:t>Location:</w:t>
      </w:r>
    </w:p>
    <w:tbl>
      <w:tblPr>
        <w:tblStyle w:val="a4"/>
        <w:tblW w:w="0" w:type="auto"/>
        <w:tblInd w:w="-289" w:type="dxa"/>
        <w:tblLook w:val="04A0" w:firstRow="1" w:lastRow="0" w:firstColumn="1" w:lastColumn="0" w:noHBand="0" w:noVBand="1"/>
      </w:tblPr>
      <w:tblGrid>
        <w:gridCol w:w="9634"/>
      </w:tblGrid>
      <w:tr w:rsidR="00A05504" w:rsidRPr="00CB2FD0" w14:paraId="08CEE7F1" w14:textId="77777777" w:rsidTr="000010DA">
        <w:trPr>
          <w:trHeight w:val="483"/>
        </w:trPr>
        <w:tc>
          <w:tcPr>
            <w:tcW w:w="9634" w:type="dxa"/>
          </w:tcPr>
          <w:p w14:paraId="0B31C0AD" w14:textId="4922D6C6" w:rsidR="000010DA" w:rsidRPr="00CB2FD0" w:rsidRDefault="000010DA" w:rsidP="000010DA">
            <w:pPr>
              <w:rPr>
                <w:rFonts w:ascii="Arial" w:hAnsi="Arial" w:cs="Arial"/>
                <w:sz w:val="20"/>
                <w:szCs w:val="20"/>
                <w:lang w:val="en-US"/>
              </w:rPr>
            </w:pPr>
            <w:r w:rsidRPr="00CB2FD0">
              <w:rPr>
                <w:rFonts w:ascii="Arial" w:hAnsi="Arial" w:cs="Arial"/>
                <w:sz w:val="20"/>
                <w:szCs w:val="20"/>
                <w:lang w:val="en-US"/>
              </w:rPr>
              <w:t xml:space="preserve">140 Pushkinskaya St., Rostov-on-Don </w:t>
            </w:r>
          </w:p>
          <w:p w14:paraId="5E51F272" w14:textId="77777777" w:rsidR="00A05504" w:rsidRPr="00CB2FD0" w:rsidRDefault="00A05504" w:rsidP="00100E73">
            <w:pPr>
              <w:pStyle w:val="a3"/>
              <w:ind w:left="0"/>
              <w:rPr>
                <w:rFonts w:ascii="Arial" w:hAnsi="Arial" w:cs="Arial"/>
                <w:sz w:val="20"/>
                <w:szCs w:val="20"/>
                <w:lang w:val="en-US"/>
              </w:rPr>
            </w:pPr>
          </w:p>
        </w:tc>
      </w:tr>
    </w:tbl>
    <w:p w14:paraId="54763A25" w14:textId="77777777" w:rsidR="00A05504" w:rsidRPr="00CB2FD0" w:rsidRDefault="00A05504" w:rsidP="00A05504">
      <w:pPr>
        <w:pStyle w:val="a3"/>
        <w:rPr>
          <w:rFonts w:ascii="Arial" w:hAnsi="Arial" w:cs="Arial"/>
          <w:sz w:val="20"/>
          <w:szCs w:val="20"/>
          <w:lang w:val="en-US"/>
        </w:rPr>
      </w:pPr>
    </w:p>
    <w:p w14:paraId="78B1AD05" w14:textId="7ACF9726" w:rsidR="00A925C7" w:rsidRPr="00CB2FD0" w:rsidRDefault="00A925C7" w:rsidP="001D4092">
      <w:pPr>
        <w:pStyle w:val="a3"/>
        <w:numPr>
          <w:ilvl w:val="0"/>
          <w:numId w:val="1"/>
        </w:numPr>
        <w:rPr>
          <w:rFonts w:ascii="Arial" w:hAnsi="Arial" w:cs="Arial"/>
          <w:b/>
          <w:bCs/>
          <w:sz w:val="20"/>
          <w:szCs w:val="20"/>
        </w:rPr>
      </w:pPr>
      <w:r w:rsidRPr="00CB2FD0">
        <w:rPr>
          <w:rFonts w:ascii="Arial" w:hAnsi="Arial" w:cs="Arial"/>
          <w:b/>
          <w:bCs/>
          <w:sz w:val="20"/>
          <w:szCs w:val="20"/>
        </w:rPr>
        <w:t>Instructor:</w:t>
      </w:r>
    </w:p>
    <w:tbl>
      <w:tblPr>
        <w:tblStyle w:val="a4"/>
        <w:tblW w:w="0" w:type="auto"/>
        <w:tblInd w:w="-289" w:type="dxa"/>
        <w:tblLook w:val="04A0" w:firstRow="1" w:lastRow="0" w:firstColumn="1" w:lastColumn="0" w:noHBand="0" w:noVBand="1"/>
      </w:tblPr>
      <w:tblGrid>
        <w:gridCol w:w="9634"/>
      </w:tblGrid>
      <w:tr w:rsidR="00A05504" w:rsidRPr="00CB2FD0" w14:paraId="37E3055B" w14:textId="77777777" w:rsidTr="00100E73">
        <w:trPr>
          <w:trHeight w:val="777"/>
        </w:trPr>
        <w:tc>
          <w:tcPr>
            <w:tcW w:w="9634" w:type="dxa"/>
          </w:tcPr>
          <w:p w14:paraId="0EB10394" w14:textId="00DBE672" w:rsidR="00A05504" w:rsidRPr="00CB2FD0" w:rsidRDefault="00D166BE" w:rsidP="00100E73">
            <w:pPr>
              <w:pStyle w:val="a3"/>
              <w:ind w:left="0"/>
              <w:rPr>
                <w:rFonts w:ascii="Arial" w:hAnsi="Arial" w:cs="Arial"/>
                <w:sz w:val="20"/>
                <w:szCs w:val="20"/>
                <w:lang w:val="en-US"/>
              </w:rPr>
            </w:pPr>
            <w:r>
              <w:rPr>
                <w:rFonts w:ascii="Arial" w:hAnsi="Arial" w:cs="Arial"/>
                <w:sz w:val="20"/>
                <w:szCs w:val="20"/>
                <w:lang w:val="en-US"/>
              </w:rPr>
              <w:t xml:space="preserve">Prof. </w:t>
            </w:r>
            <w:r w:rsidR="008E220C" w:rsidRPr="00CB2FD0">
              <w:rPr>
                <w:rFonts w:ascii="Arial" w:hAnsi="Arial" w:cs="Arial"/>
                <w:sz w:val="20"/>
                <w:szCs w:val="20"/>
                <w:lang w:val="en-US"/>
              </w:rPr>
              <w:t xml:space="preserve">Anastasia Migal, e-mail: </w:t>
            </w:r>
            <w:hyperlink r:id="rId7" w:history="1">
              <w:r w:rsidR="00D936A1" w:rsidRPr="00CB2FD0">
                <w:rPr>
                  <w:rStyle w:val="a5"/>
                  <w:rFonts w:ascii="Arial" w:hAnsi="Arial" w:cs="Arial"/>
                  <w:sz w:val="20"/>
                  <w:szCs w:val="20"/>
                  <w:lang w:val="en-US"/>
                </w:rPr>
                <w:t>migal@sfedu.ru</w:t>
              </w:r>
            </w:hyperlink>
            <w:r w:rsidR="00D936A1" w:rsidRPr="00CB2FD0">
              <w:rPr>
                <w:rFonts w:ascii="Arial" w:hAnsi="Arial" w:cs="Arial"/>
                <w:sz w:val="20"/>
                <w:szCs w:val="20"/>
                <w:lang w:val="en-US"/>
              </w:rPr>
              <w:t xml:space="preserve">  </w:t>
            </w:r>
          </w:p>
        </w:tc>
      </w:tr>
    </w:tbl>
    <w:p w14:paraId="08E6860B" w14:textId="77777777" w:rsidR="00A05504" w:rsidRPr="00CB2FD0" w:rsidRDefault="00A05504" w:rsidP="00A05504">
      <w:pPr>
        <w:pStyle w:val="a3"/>
        <w:rPr>
          <w:rFonts w:ascii="Arial" w:hAnsi="Arial" w:cs="Arial"/>
          <w:sz w:val="20"/>
          <w:szCs w:val="20"/>
          <w:lang w:val="en-US"/>
        </w:rPr>
      </w:pPr>
    </w:p>
    <w:p w14:paraId="628D6DE8" w14:textId="5F9FF9D2" w:rsidR="00A925C7" w:rsidRPr="00CB2FD0" w:rsidRDefault="00A925C7" w:rsidP="001D4092">
      <w:pPr>
        <w:pStyle w:val="a3"/>
        <w:numPr>
          <w:ilvl w:val="0"/>
          <w:numId w:val="1"/>
        </w:numPr>
        <w:rPr>
          <w:rFonts w:ascii="Arial" w:hAnsi="Arial" w:cs="Arial"/>
          <w:b/>
          <w:bCs/>
          <w:sz w:val="20"/>
          <w:szCs w:val="20"/>
        </w:rPr>
      </w:pPr>
      <w:r w:rsidRPr="00CB2FD0">
        <w:rPr>
          <w:rFonts w:ascii="Arial" w:hAnsi="Arial" w:cs="Arial"/>
          <w:b/>
          <w:bCs/>
          <w:sz w:val="20"/>
          <w:szCs w:val="20"/>
        </w:rPr>
        <w:t>Language of Instruction:</w:t>
      </w:r>
    </w:p>
    <w:tbl>
      <w:tblPr>
        <w:tblStyle w:val="a4"/>
        <w:tblW w:w="0" w:type="auto"/>
        <w:tblInd w:w="-289" w:type="dxa"/>
        <w:tblLook w:val="04A0" w:firstRow="1" w:lastRow="0" w:firstColumn="1" w:lastColumn="0" w:noHBand="0" w:noVBand="1"/>
      </w:tblPr>
      <w:tblGrid>
        <w:gridCol w:w="9634"/>
      </w:tblGrid>
      <w:tr w:rsidR="00A05504" w:rsidRPr="00CB2FD0" w14:paraId="6738EDCE" w14:textId="77777777" w:rsidTr="000D3793">
        <w:trPr>
          <w:trHeight w:val="549"/>
        </w:trPr>
        <w:tc>
          <w:tcPr>
            <w:tcW w:w="9634" w:type="dxa"/>
          </w:tcPr>
          <w:p w14:paraId="7AC26C1D" w14:textId="77777777" w:rsidR="000D3793" w:rsidRPr="00CB2FD0" w:rsidRDefault="000D3793" w:rsidP="000D3793">
            <w:pPr>
              <w:rPr>
                <w:rFonts w:ascii="Arial" w:hAnsi="Arial" w:cs="Arial"/>
                <w:sz w:val="20"/>
                <w:szCs w:val="20"/>
                <w:lang w:val="en-US"/>
              </w:rPr>
            </w:pPr>
            <w:r w:rsidRPr="00CB2FD0">
              <w:rPr>
                <w:rFonts w:ascii="Arial" w:hAnsi="Arial" w:cs="Arial"/>
                <w:sz w:val="20"/>
                <w:szCs w:val="20"/>
                <w:lang w:val="en-US"/>
              </w:rPr>
              <w:t>English</w:t>
            </w:r>
          </w:p>
          <w:p w14:paraId="0650DCF2" w14:textId="77777777" w:rsidR="00A05504" w:rsidRPr="00CB2FD0" w:rsidRDefault="00A05504" w:rsidP="00100E73">
            <w:pPr>
              <w:pStyle w:val="a3"/>
              <w:ind w:left="0"/>
              <w:rPr>
                <w:rFonts w:ascii="Arial" w:hAnsi="Arial" w:cs="Arial"/>
                <w:sz w:val="20"/>
                <w:szCs w:val="20"/>
              </w:rPr>
            </w:pPr>
          </w:p>
        </w:tc>
      </w:tr>
    </w:tbl>
    <w:p w14:paraId="173FD165" w14:textId="77777777" w:rsidR="00A05504" w:rsidRPr="00CB2FD0" w:rsidRDefault="00A05504" w:rsidP="00A05504">
      <w:pPr>
        <w:pStyle w:val="a3"/>
        <w:rPr>
          <w:rFonts w:ascii="Arial" w:hAnsi="Arial" w:cs="Arial"/>
          <w:sz w:val="20"/>
          <w:szCs w:val="20"/>
        </w:rPr>
      </w:pPr>
    </w:p>
    <w:p w14:paraId="1D24A37A" w14:textId="5D24B8E2" w:rsidR="00A925C7" w:rsidRPr="00CB2FD0" w:rsidRDefault="00A925C7" w:rsidP="001D4092">
      <w:pPr>
        <w:pStyle w:val="a3"/>
        <w:numPr>
          <w:ilvl w:val="0"/>
          <w:numId w:val="1"/>
        </w:numPr>
        <w:rPr>
          <w:rFonts w:ascii="Arial" w:hAnsi="Arial" w:cs="Arial"/>
          <w:b/>
          <w:bCs/>
          <w:sz w:val="20"/>
          <w:szCs w:val="20"/>
        </w:rPr>
      </w:pPr>
      <w:r w:rsidRPr="00CB2FD0">
        <w:rPr>
          <w:rFonts w:ascii="Arial" w:hAnsi="Arial" w:cs="Arial"/>
          <w:b/>
          <w:bCs/>
          <w:sz w:val="20"/>
          <w:szCs w:val="20"/>
        </w:rPr>
        <w:t>Course Description:</w:t>
      </w:r>
    </w:p>
    <w:tbl>
      <w:tblPr>
        <w:tblStyle w:val="a4"/>
        <w:tblW w:w="0" w:type="auto"/>
        <w:tblInd w:w="-289" w:type="dxa"/>
        <w:tblLook w:val="04A0" w:firstRow="1" w:lastRow="0" w:firstColumn="1" w:lastColumn="0" w:noHBand="0" w:noVBand="1"/>
      </w:tblPr>
      <w:tblGrid>
        <w:gridCol w:w="9634"/>
      </w:tblGrid>
      <w:tr w:rsidR="00A05504" w:rsidRPr="00CB2FD0" w14:paraId="6D5AFE03" w14:textId="77777777" w:rsidTr="00100E73">
        <w:trPr>
          <w:trHeight w:val="777"/>
        </w:trPr>
        <w:tc>
          <w:tcPr>
            <w:tcW w:w="9634" w:type="dxa"/>
          </w:tcPr>
          <w:p w14:paraId="098E13D1" w14:textId="080746EC" w:rsidR="008E220C" w:rsidRPr="00CB2FD0" w:rsidRDefault="008E220C" w:rsidP="008E220C">
            <w:pPr>
              <w:rPr>
                <w:rFonts w:ascii="Arial" w:hAnsi="Arial" w:cs="Arial"/>
                <w:sz w:val="20"/>
                <w:szCs w:val="20"/>
                <w:lang w:val="en-US"/>
              </w:rPr>
            </w:pPr>
            <w:r w:rsidRPr="00CB2FD0">
              <w:rPr>
                <w:rFonts w:ascii="Arial" w:hAnsi="Arial" w:cs="Arial"/>
                <w:sz w:val="20"/>
                <w:szCs w:val="20"/>
                <w:lang w:val="en-US"/>
              </w:rPr>
              <w:t xml:space="preserve">The discipline "Modern History of Latin America" is intended for undergraduates of 1 year of study (2 semester) in the </w:t>
            </w:r>
            <w:r w:rsidR="00D166BE">
              <w:rPr>
                <w:rFonts w:ascii="Arial" w:hAnsi="Arial" w:cs="Arial"/>
                <w:sz w:val="20"/>
                <w:szCs w:val="20"/>
                <w:lang w:val="en-US"/>
              </w:rPr>
              <w:t>field</w:t>
            </w:r>
            <w:r w:rsidRPr="00CB2FD0">
              <w:rPr>
                <w:rFonts w:ascii="Arial" w:hAnsi="Arial" w:cs="Arial"/>
                <w:sz w:val="20"/>
                <w:szCs w:val="20"/>
                <w:lang w:val="en-US"/>
              </w:rPr>
              <w:t xml:space="preserve"> of 46.04.01 History and is an optional element of the </w:t>
            </w:r>
            <w:r w:rsidR="00D166BE">
              <w:rPr>
                <w:rFonts w:ascii="Arial" w:hAnsi="Arial" w:cs="Arial"/>
                <w:sz w:val="20"/>
                <w:szCs w:val="20"/>
                <w:lang w:val="en-US"/>
              </w:rPr>
              <w:t>study</w:t>
            </w:r>
            <w:r w:rsidRPr="00CB2FD0">
              <w:rPr>
                <w:rFonts w:ascii="Arial" w:hAnsi="Arial" w:cs="Arial"/>
                <w:sz w:val="20"/>
                <w:szCs w:val="20"/>
                <w:lang w:val="en-US"/>
              </w:rPr>
              <w:t xml:space="preserve"> </w:t>
            </w:r>
            <w:r w:rsidR="00D166BE">
              <w:rPr>
                <w:rFonts w:ascii="Arial" w:hAnsi="Arial" w:cs="Arial"/>
                <w:sz w:val="20"/>
                <w:szCs w:val="20"/>
                <w:lang w:val="en-US"/>
              </w:rPr>
              <w:t>program “</w:t>
            </w:r>
            <w:r w:rsidRPr="00CB2FD0">
              <w:rPr>
                <w:rFonts w:ascii="Arial" w:hAnsi="Arial" w:cs="Arial"/>
                <w:sz w:val="20"/>
                <w:szCs w:val="20"/>
                <w:lang w:val="en-US"/>
              </w:rPr>
              <w:t>Socialist and post-socialist studies".</w:t>
            </w:r>
          </w:p>
          <w:p w14:paraId="2A9AEE6D" w14:textId="78EC1373" w:rsidR="008E220C" w:rsidRPr="00CB2FD0" w:rsidRDefault="008E220C" w:rsidP="008E220C">
            <w:pPr>
              <w:rPr>
                <w:rFonts w:ascii="Arial" w:hAnsi="Arial" w:cs="Arial"/>
                <w:sz w:val="20"/>
                <w:szCs w:val="20"/>
                <w:lang w:val="en-US"/>
              </w:rPr>
            </w:pPr>
            <w:r w:rsidRPr="00CB2FD0">
              <w:rPr>
                <w:rFonts w:ascii="Arial" w:hAnsi="Arial" w:cs="Arial"/>
                <w:sz w:val="20"/>
                <w:szCs w:val="20"/>
                <w:lang w:val="en-US"/>
              </w:rPr>
              <w:t xml:space="preserve">The course "Modern History of Latin America" is part of the system of disciplines of the general professional block and involves relying on interdisciplinary connections, performing an integrating function in a number of academic disciplines </w:t>
            </w:r>
            <w:r w:rsidR="00D166BE">
              <w:rPr>
                <w:rFonts w:ascii="Arial" w:hAnsi="Arial" w:cs="Arial"/>
                <w:sz w:val="20"/>
                <w:szCs w:val="20"/>
                <w:lang w:val="en-US"/>
              </w:rPr>
              <w:t>in history</w:t>
            </w:r>
            <w:r w:rsidRPr="00CB2FD0">
              <w:rPr>
                <w:rFonts w:ascii="Arial" w:hAnsi="Arial" w:cs="Arial"/>
                <w:sz w:val="20"/>
                <w:szCs w:val="20"/>
                <w:lang w:val="en-US"/>
              </w:rPr>
              <w:t>, and also helping students to comprehend the research process and the results of their concrete practical activities.</w:t>
            </w:r>
          </w:p>
          <w:p w14:paraId="14B9999A" w14:textId="3119B030" w:rsidR="008E220C" w:rsidRPr="00CB2FD0" w:rsidRDefault="008E220C" w:rsidP="008E220C">
            <w:pPr>
              <w:rPr>
                <w:rFonts w:ascii="Arial" w:hAnsi="Arial" w:cs="Arial"/>
                <w:sz w:val="20"/>
                <w:szCs w:val="20"/>
                <w:lang w:val="en-US"/>
              </w:rPr>
            </w:pPr>
            <w:r w:rsidRPr="00CB2FD0">
              <w:rPr>
                <w:rFonts w:ascii="Arial" w:hAnsi="Arial" w:cs="Arial"/>
                <w:sz w:val="20"/>
                <w:szCs w:val="20"/>
                <w:lang w:val="en-US"/>
              </w:rPr>
              <w:t>As part of the discipline, the following basic educational technologies are used: problem</w:t>
            </w:r>
            <w:r w:rsidR="00D166BE">
              <w:rPr>
                <w:rFonts w:ascii="Arial" w:hAnsi="Arial" w:cs="Arial"/>
                <w:sz w:val="20"/>
                <w:szCs w:val="20"/>
                <w:lang w:val="en-US"/>
              </w:rPr>
              <w:t xml:space="preserve">-oriented </w:t>
            </w:r>
            <w:r w:rsidRPr="00CB2FD0">
              <w:rPr>
                <w:rFonts w:ascii="Arial" w:hAnsi="Arial" w:cs="Arial"/>
                <w:sz w:val="20"/>
                <w:szCs w:val="20"/>
                <w:lang w:val="en-US"/>
              </w:rPr>
              <w:t xml:space="preserve">lectures, practical classes, independent work of students. </w:t>
            </w:r>
          </w:p>
          <w:p w14:paraId="73B4778B" w14:textId="4B430306" w:rsidR="00A05504" w:rsidRPr="00CB2FD0" w:rsidRDefault="00A05504" w:rsidP="00100E73">
            <w:pPr>
              <w:pStyle w:val="a3"/>
              <w:ind w:left="0"/>
              <w:rPr>
                <w:rFonts w:ascii="Arial" w:hAnsi="Arial" w:cs="Arial"/>
                <w:sz w:val="20"/>
                <w:szCs w:val="20"/>
                <w:lang w:val="en-US"/>
              </w:rPr>
            </w:pPr>
          </w:p>
        </w:tc>
      </w:tr>
    </w:tbl>
    <w:p w14:paraId="3FFCC7C0" w14:textId="77777777" w:rsidR="0085212A" w:rsidRPr="00CB2FD0" w:rsidRDefault="0085212A" w:rsidP="00A05504">
      <w:pPr>
        <w:pStyle w:val="a3"/>
        <w:rPr>
          <w:rFonts w:ascii="Arial" w:hAnsi="Arial" w:cs="Arial"/>
          <w:sz w:val="20"/>
          <w:szCs w:val="20"/>
          <w:lang w:val="en-US"/>
        </w:rPr>
      </w:pPr>
    </w:p>
    <w:p w14:paraId="53F55C46" w14:textId="14010372" w:rsidR="00A925C7" w:rsidRPr="00CB2FD0" w:rsidRDefault="00A925C7" w:rsidP="001D4092">
      <w:pPr>
        <w:pStyle w:val="a3"/>
        <w:numPr>
          <w:ilvl w:val="0"/>
          <w:numId w:val="1"/>
        </w:numPr>
        <w:rPr>
          <w:rFonts w:ascii="Arial" w:hAnsi="Arial" w:cs="Arial"/>
          <w:b/>
          <w:bCs/>
          <w:sz w:val="20"/>
          <w:szCs w:val="20"/>
        </w:rPr>
      </w:pPr>
      <w:r w:rsidRPr="00CB2FD0">
        <w:rPr>
          <w:rFonts w:ascii="Arial" w:hAnsi="Arial" w:cs="Arial"/>
          <w:b/>
          <w:bCs/>
          <w:sz w:val="20"/>
          <w:szCs w:val="20"/>
        </w:rPr>
        <w:t>Course Aims:</w:t>
      </w:r>
    </w:p>
    <w:tbl>
      <w:tblPr>
        <w:tblStyle w:val="a4"/>
        <w:tblW w:w="0" w:type="auto"/>
        <w:tblInd w:w="-289" w:type="dxa"/>
        <w:tblLook w:val="04A0" w:firstRow="1" w:lastRow="0" w:firstColumn="1" w:lastColumn="0" w:noHBand="0" w:noVBand="1"/>
      </w:tblPr>
      <w:tblGrid>
        <w:gridCol w:w="9634"/>
      </w:tblGrid>
      <w:tr w:rsidR="00A05504" w:rsidRPr="00CB2FD0" w14:paraId="75494349" w14:textId="77777777" w:rsidTr="00100E73">
        <w:trPr>
          <w:trHeight w:val="777"/>
        </w:trPr>
        <w:tc>
          <w:tcPr>
            <w:tcW w:w="9634" w:type="dxa"/>
          </w:tcPr>
          <w:p w14:paraId="194D6575"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 to study the general laws of the processes of socio-economic and socio-political development of Latin American countries in the period of modern history;</w:t>
            </w:r>
          </w:p>
          <w:p w14:paraId="4939F034"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 to study the history of individual countries in the region that have declared a course for "socialism of the XXI century": the Republic of Nicaragua; the Bolivarian Republic of Venezuela; the Republic of Cuba; the Republic of Ecuador; the Plurinational State of Bolivia.</w:t>
            </w:r>
          </w:p>
          <w:p w14:paraId="4EC0C54B"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 to analyze the characteristic features of the social structure and the peculiarities of the functioning of the party-political system in Latin American societies, the special role of Latin American armies, the processes of liberalization and democratization in the region at the turn of the XX-XXI centuries.</w:t>
            </w:r>
          </w:p>
          <w:p w14:paraId="1381CAAE" w14:textId="77777777" w:rsidR="00A05504" w:rsidRPr="00CB2FD0" w:rsidRDefault="00A05504" w:rsidP="00100E73">
            <w:pPr>
              <w:pStyle w:val="a3"/>
              <w:ind w:left="0"/>
              <w:rPr>
                <w:rFonts w:ascii="Arial" w:hAnsi="Arial" w:cs="Arial"/>
                <w:sz w:val="20"/>
                <w:szCs w:val="20"/>
                <w:lang w:val="en-US"/>
              </w:rPr>
            </w:pPr>
          </w:p>
        </w:tc>
      </w:tr>
    </w:tbl>
    <w:p w14:paraId="05EDEBF5" w14:textId="77777777" w:rsidR="00A05504" w:rsidRPr="00CB2FD0" w:rsidRDefault="00A05504" w:rsidP="00A05504">
      <w:pPr>
        <w:pStyle w:val="a3"/>
        <w:rPr>
          <w:rFonts w:ascii="Arial" w:hAnsi="Arial" w:cs="Arial"/>
          <w:sz w:val="20"/>
          <w:szCs w:val="20"/>
          <w:lang w:val="en-US"/>
        </w:rPr>
      </w:pPr>
    </w:p>
    <w:p w14:paraId="6FD6094A" w14:textId="393E45E9" w:rsidR="00A925C7" w:rsidRPr="00CB2FD0" w:rsidRDefault="00A925C7" w:rsidP="001D4092">
      <w:pPr>
        <w:pStyle w:val="a3"/>
        <w:numPr>
          <w:ilvl w:val="0"/>
          <w:numId w:val="1"/>
        </w:numPr>
        <w:rPr>
          <w:rFonts w:ascii="Arial" w:hAnsi="Arial" w:cs="Arial"/>
          <w:b/>
          <w:bCs/>
          <w:sz w:val="20"/>
          <w:szCs w:val="20"/>
          <w:lang w:val="en-US"/>
        </w:rPr>
      </w:pPr>
      <w:r w:rsidRPr="00CB2FD0">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CB2FD0" w14:paraId="5AFC2944" w14:textId="77777777" w:rsidTr="00102ACA">
        <w:trPr>
          <w:trHeight w:val="563"/>
        </w:trPr>
        <w:tc>
          <w:tcPr>
            <w:tcW w:w="9634" w:type="dxa"/>
          </w:tcPr>
          <w:p w14:paraId="789A8563" w14:textId="47400EA5" w:rsidR="00A05504" w:rsidRPr="00CB2FD0" w:rsidRDefault="00102ACA" w:rsidP="00100E73">
            <w:pPr>
              <w:pStyle w:val="a3"/>
              <w:ind w:left="0"/>
              <w:rPr>
                <w:rFonts w:ascii="Arial" w:hAnsi="Arial" w:cs="Arial"/>
                <w:sz w:val="20"/>
                <w:szCs w:val="20"/>
              </w:rPr>
            </w:pPr>
            <w:r w:rsidRPr="00CB2FD0">
              <w:rPr>
                <w:rFonts w:ascii="Arial" w:hAnsi="Arial" w:cs="Arial"/>
                <w:sz w:val="20"/>
                <w:szCs w:val="20"/>
              </w:rPr>
              <w:t>-</w:t>
            </w:r>
          </w:p>
        </w:tc>
      </w:tr>
    </w:tbl>
    <w:p w14:paraId="250CD6D6" w14:textId="77777777" w:rsidR="00A05504" w:rsidRPr="00CB2FD0" w:rsidRDefault="00A05504" w:rsidP="00A05504">
      <w:pPr>
        <w:pStyle w:val="a3"/>
        <w:rPr>
          <w:rFonts w:ascii="Arial" w:hAnsi="Arial" w:cs="Arial"/>
          <w:sz w:val="20"/>
          <w:szCs w:val="20"/>
          <w:lang w:val="en-US"/>
        </w:rPr>
      </w:pPr>
    </w:p>
    <w:p w14:paraId="191AA323" w14:textId="525F8E36" w:rsidR="00A925C7" w:rsidRPr="00CB2FD0" w:rsidRDefault="00A925C7" w:rsidP="001D4092">
      <w:pPr>
        <w:pStyle w:val="a3"/>
        <w:numPr>
          <w:ilvl w:val="0"/>
          <w:numId w:val="1"/>
        </w:numPr>
        <w:rPr>
          <w:rFonts w:ascii="Arial" w:hAnsi="Arial" w:cs="Arial"/>
          <w:b/>
          <w:bCs/>
          <w:sz w:val="20"/>
          <w:szCs w:val="20"/>
          <w:lang w:val="en-US"/>
        </w:rPr>
      </w:pPr>
      <w:r w:rsidRPr="00CB2FD0">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CB2FD0" w14:paraId="363A079C" w14:textId="77777777" w:rsidTr="00102ACA">
        <w:trPr>
          <w:trHeight w:val="455"/>
        </w:trPr>
        <w:tc>
          <w:tcPr>
            <w:tcW w:w="9634" w:type="dxa"/>
          </w:tcPr>
          <w:p w14:paraId="4F0FC4BC" w14:textId="77777777" w:rsidR="008F5C24" w:rsidRPr="00CB2FD0" w:rsidRDefault="008F5C24" w:rsidP="008F5C24">
            <w:pPr>
              <w:rPr>
                <w:rFonts w:ascii="Arial" w:hAnsi="Arial" w:cs="Arial"/>
                <w:sz w:val="20"/>
                <w:szCs w:val="20"/>
                <w:lang w:val="en-US"/>
              </w:rPr>
            </w:pPr>
            <w:r w:rsidRPr="00CB2FD0">
              <w:rPr>
                <w:rFonts w:ascii="Arial" w:hAnsi="Arial" w:cs="Arial"/>
                <w:b/>
                <w:sz w:val="20"/>
                <w:szCs w:val="20"/>
                <w:lang w:val="en-US"/>
              </w:rPr>
              <w:t>Module 1.</w:t>
            </w:r>
            <w:r w:rsidRPr="00CB2FD0">
              <w:rPr>
                <w:rFonts w:ascii="Arial" w:hAnsi="Arial" w:cs="Arial"/>
                <w:sz w:val="20"/>
                <w:szCs w:val="20"/>
                <w:lang w:val="en-US"/>
              </w:rPr>
              <w:t xml:space="preserve"> Latin America in the first half of the XX century.</w:t>
            </w:r>
          </w:p>
          <w:p w14:paraId="01360669"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Latin America as a historical and geographical complex of countries with similar trends in economic, political, social, historical and cultural development, with related languages, the predominance of the Catholic religion, elements of a common culture. Liberal reformism of the 1920s: the transition of power in Argentina to the Radical Party (1916-1930), the policy of the Liberal Alliance in Chile, the regime of "revolutionary caudilism" in Mexico (1920-1928).</w:t>
            </w:r>
          </w:p>
          <w:p w14:paraId="10A0912F"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Revolutionary-democratic and anti-imperialist movements of the 1920s: the tenentist movement in Brazil, the struggle of the Nicaraguan rebels, aprism.</w:t>
            </w:r>
          </w:p>
          <w:p w14:paraId="7AEE83E6"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The political crisis of the 1930s: the military coup in Argentina, the coup d'etat in Brazil and the coming to power of Vargas, the socio-political crisis of 1931-1932 in Chile, the revolution of 1933-1934 in Cuba.</w:t>
            </w:r>
          </w:p>
          <w:p w14:paraId="2B47135E"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National Reformism of the 1940s and 1950s: the activities of Cardenas and the policy of the IRP in Mexico, the peculiarities of the Mexican political system, the Peronist movement in Argentina, the end of the Vargas era in Brazil.</w:t>
            </w:r>
          </w:p>
          <w:p w14:paraId="60BEC24E" w14:textId="77777777" w:rsidR="008F5C24" w:rsidRPr="00CB2FD0" w:rsidRDefault="008F5C24" w:rsidP="008F5C24">
            <w:pPr>
              <w:rPr>
                <w:rFonts w:ascii="Arial" w:hAnsi="Arial" w:cs="Arial"/>
                <w:sz w:val="20"/>
                <w:szCs w:val="20"/>
                <w:lang w:val="en-US"/>
              </w:rPr>
            </w:pPr>
            <w:r w:rsidRPr="00CB2FD0">
              <w:rPr>
                <w:rFonts w:ascii="Arial" w:hAnsi="Arial" w:cs="Arial"/>
                <w:b/>
                <w:sz w:val="20"/>
                <w:szCs w:val="20"/>
                <w:lang w:val="en-US"/>
              </w:rPr>
              <w:t>Module 2.</w:t>
            </w:r>
            <w:r w:rsidRPr="00CB2FD0">
              <w:rPr>
                <w:rFonts w:ascii="Arial" w:hAnsi="Arial" w:cs="Arial"/>
                <w:sz w:val="20"/>
                <w:szCs w:val="20"/>
                <w:lang w:val="en-US"/>
              </w:rPr>
              <w:t xml:space="preserve"> Latin America in the second half of the XX-early XXI centuries.</w:t>
            </w:r>
          </w:p>
          <w:p w14:paraId="11311D47"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The liberal-reformist version of the implementation of modernization on the example of Chile. The "People's Unity" bloc in power (1970-1973).</w:t>
            </w:r>
          </w:p>
          <w:p w14:paraId="243CF8B3"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A neoconservative version of the modernization of the economy. Brazil during the military dictatorship (1964-1985).</w:t>
            </w:r>
          </w:p>
          <w:p w14:paraId="521D9E94"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The debt crisis of the 1980s and its consequences. Democratization of social and political life in Chile, Mexico, Argentina and Brazil.</w:t>
            </w:r>
          </w:p>
          <w:p w14:paraId="55596C68"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Socialism in Bolivia.</w:t>
            </w:r>
          </w:p>
          <w:p w14:paraId="62A0A70C"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"The Bolivarian Revolution": ideology and politics. The formation of "Bolivarian socialism of the XXI century." Chavism.</w:t>
            </w:r>
          </w:p>
          <w:p w14:paraId="48356C52"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Socialist Cuba.</w:t>
            </w:r>
          </w:p>
          <w:p w14:paraId="44897462"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Socialism in Ecuador.</w:t>
            </w:r>
          </w:p>
          <w:p w14:paraId="6842B156" w14:textId="77777777" w:rsidR="008F5C24" w:rsidRPr="00CB2FD0" w:rsidRDefault="008F5C24" w:rsidP="008F5C24">
            <w:pPr>
              <w:rPr>
                <w:rFonts w:ascii="Arial" w:hAnsi="Arial" w:cs="Arial"/>
                <w:sz w:val="20"/>
                <w:szCs w:val="20"/>
                <w:lang w:val="en-US"/>
              </w:rPr>
            </w:pPr>
            <w:r w:rsidRPr="00CB2FD0">
              <w:rPr>
                <w:rFonts w:ascii="Arial" w:hAnsi="Arial" w:cs="Arial"/>
                <w:sz w:val="20"/>
                <w:szCs w:val="20"/>
                <w:lang w:val="en-US"/>
              </w:rPr>
              <w:t>Nicaragua: from the dictatorship of the Samos clan to the Sandinista Revolution and the Civil War. Features of "Nakaraguan socialism of the XXI century".</w:t>
            </w:r>
          </w:p>
          <w:p w14:paraId="36D576C4" w14:textId="1E9EFD3C" w:rsidR="00A05504" w:rsidRPr="00CB2FD0" w:rsidRDefault="00A05504" w:rsidP="00100E73">
            <w:pPr>
              <w:pStyle w:val="a3"/>
              <w:ind w:left="0"/>
              <w:rPr>
                <w:rFonts w:ascii="Arial" w:hAnsi="Arial" w:cs="Arial"/>
                <w:sz w:val="20"/>
                <w:szCs w:val="20"/>
              </w:rPr>
            </w:pPr>
          </w:p>
        </w:tc>
      </w:tr>
    </w:tbl>
    <w:p w14:paraId="36DF7D44" w14:textId="77777777" w:rsidR="00A05504" w:rsidRPr="00CB2FD0" w:rsidRDefault="00A05504" w:rsidP="00A05504">
      <w:pPr>
        <w:pStyle w:val="a3"/>
        <w:rPr>
          <w:rFonts w:ascii="Arial" w:hAnsi="Arial" w:cs="Arial"/>
          <w:sz w:val="20"/>
          <w:szCs w:val="20"/>
          <w:lang w:val="en-US"/>
        </w:rPr>
      </w:pPr>
    </w:p>
    <w:p w14:paraId="235C7F18" w14:textId="5F6DCE2B" w:rsidR="00A925C7" w:rsidRPr="00CB2FD0" w:rsidRDefault="00A925C7" w:rsidP="001D4092">
      <w:pPr>
        <w:pStyle w:val="a3"/>
        <w:numPr>
          <w:ilvl w:val="0"/>
          <w:numId w:val="1"/>
        </w:numPr>
        <w:rPr>
          <w:rFonts w:ascii="Arial" w:hAnsi="Arial" w:cs="Arial"/>
          <w:b/>
          <w:bCs/>
          <w:sz w:val="20"/>
          <w:szCs w:val="20"/>
          <w:lang w:val="en-US"/>
        </w:rPr>
      </w:pPr>
      <w:r w:rsidRPr="00CB2FD0">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CB2FD0" w14:paraId="0FF45479" w14:textId="77777777" w:rsidTr="00102ACA">
        <w:trPr>
          <w:trHeight w:val="503"/>
        </w:trPr>
        <w:tc>
          <w:tcPr>
            <w:tcW w:w="9634" w:type="dxa"/>
          </w:tcPr>
          <w:p w14:paraId="28D96D52" w14:textId="77777777" w:rsidR="00CB2FD0" w:rsidRPr="006323C9" w:rsidRDefault="00CB2FD0" w:rsidP="00CB2FD0">
            <w:pPr>
              <w:pStyle w:val="a3"/>
              <w:ind w:left="0"/>
              <w:rPr>
                <w:rFonts w:ascii="Arial" w:hAnsi="Arial" w:cs="Arial"/>
                <w:sz w:val="20"/>
                <w:szCs w:val="20"/>
                <w:lang w:val="en"/>
              </w:rPr>
            </w:pPr>
            <w:r w:rsidRPr="006323C9">
              <w:rPr>
                <w:rFonts w:ascii="Arial" w:hAnsi="Arial" w:cs="Arial"/>
                <w:sz w:val="20"/>
                <w:szCs w:val="20"/>
                <w:lang w:val="en"/>
              </w:rPr>
              <w:t>Knowledge:</w:t>
            </w:r>
          </w:p>
          <w:p w14:paraId="3843BE0D" w14:textId="77777777" w:rsidR="00CB2FD0" w:rsidRPr="006323C9" w:rsidRDefault="00CB2FD0" w:rsidP="00CB2FD0">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knowledge of factual material, including the chronology of the main historical events;</w:t>
            </w:r>
          </w:p>
          <w:p w14:paraId="19DEDBB5" w14:textId="77777777" w:rsidR="00CB2FD0" w:rsidRPr="006323C9" w:rsidRDefault="00CB2FD0" w:rsidP="00CB2FD0">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understand the driving forces and laws of the historical process, the place of the individual in the historical process, the political organization of society;</w:t>
            </w:r>
          </w:p>
          <w:p w14:paraId="159F6036" w14:textId="77777777" w:rsidR="00CB2FD0" w:rsidRDefault="00CB2FD0" w:rsidP="00CB2FD0">
            <w:pPr>
              <w:pStyle w:val="a3"/>
              <w:ind w:left="0"/>
              <w:rPr>
                <w:rFonts w:ascii="Arial" w:hAnsi="Arial" w:cs="Arial"/>
                <w:sz w:val="20"/>
                <w:szCs w:val="20"/>
                <w:lang w:val="en"/>
              </w:rPr>
            </w:pPr>
            <w:r w:rsidRPr="006323C9">
              <w:rPr>
                <w:rFonts w:ascii="Arial" w:hAnsi="Arial" w:cs="Arial"/>
                <w:sz w:val="20"/>
                <w:szCs w:val="20"/>
                <w:lang w:val="en-US"/>
              </w:rPr>
              <w:t xml:space="preserve">-  </w:t>
            </w:r>
            <w:r w:rsidRPr="006323C9">
              <w:rPr>
                <w:rFonts w:ascii="Arial" w:hAnsi="Arial" w:cs="Arial"/>
                <w:sz w:val="20"/>
                <w:szCs w:val="20"/>
                <w:lang w:val="en"/>
              </w:rPr>
              <w:t xml:space="preserve">knowledge in the field of general and national history. </w:t>
            </w:r>
          </w:p>
          <w:p w14:paraId="1E3AA69A" w14:textId="77777777" w:rsidR="00CB2FD0" w:rsidRPr="006323C9" w:rsidRDefault="00CB2FD0" w:rsidP="00CB2FD0">
            <w:pPr>
              <w:pStyle w:val="a3"/>
              <w:ind w:left="0"/>
              <w:rPr>
                <w:rFonts w:ascii="Arial" w:hAnsi="Arial" w:cs="Arial"/>
                <w:sz w:val="20"/>
                <w:szCs w:val="20"/>
                <w:lang w:val="en-US"/>
              </w:rPr>
            </w:pPr>
            <w:r w:rsidRPr="006323C9">
              <w:rPr>
                <w:rFonts w:ascii="Arial" w:hAnsi="Arial" w:cs="Arial"/>
                <w:sz w:val="20"/>
                <w:szCs w:val="20"/>
                <w:lang w:val="en"/>
              </w:rPr>
              <w:t>Skills:</w:t>
            </w:r>
          </w:p>
          <w:p w14:paraId="4B161126" w14:textId="77777777" w:rsidR="00CB2FD0" w:rsidRPr="006323C9" w:rsidRDefault="00CB2FD0" w:rsidP="00CB2FD0">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the ability to understand, critically analyze and present historical information;</w:t>
            </w:r>
          </w:p>
          <w:p w14:paraId="289CC948" w14:textId="77777777" w:rsidR="00CB2FD0" w:rsidRPr="006323C9" w:rsidRDefault="00CB2FD0" w:rsidP="00CB2FD0">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the ability </w:t>
            </w:r>
            <w:r>
              <w:rPr>
                <w:rFonts w:ascii="Arial" w:hAnsi="Arial" w:cs="Arial"/>
                <w:sz w:val="20"/>
                <w:szCs w:val="20"/>
                <w:lang w:val="en"/>
              </w:rPr>
              <w:t xml:space="preserve">to </w:t>
            </w:r>
            <w:r w:rsidRPr="006323C9">
              <w:rPr>
                <w:rFonts w:ascii="Arial" w:hAnsi="Arial" w:cs="Arial"/>
                <w:sz w:val="20"/>
                <w:szCs w:val="20"/>
                <w:lang w:val="en"/>
              </w:rPr>
              <w:t>build oral speech</w:t>
            </w:r>
            <w:r>
              <w:rPr>
                <w:rFonts w:ascii="Arial" w:hAnsi="Arial" w:cs="Arial"/>
                <w:sz w:val="20"/>
                <w:szCs w:val="20"/>
                <w:lang w:val="en"/>
              </w:rPr>
              <w:t xml:space="preserve"> in a correct, logical and argumentative way</w:t>
            </w:r>
            <w:r w:rsidRPr="006323C9">
              <w:rPr>
                <w:rFonts w:ascii="Arial" w:hAnsi="Arial" w:cs="Arial"/>
                <w:sz w:val="20"/>
                <w:szCs w:val="20"/>
                <w:lang w:val="en"/>
              </w:rPr>
              <w:t>;</w:t>
            </w:r>
          </w:p>
          <w:p w14:paraId="2159E008" w14:textId="21E286E8" w:rsidR="00A05504" w:rsidRPr="00CB2FD0" w:rsidRDefault="00CB2FD0" w:rsidP="00CB2FD0">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the ability to interact on the basis of moral and legal norms accepted in society, to tolerate another culture.</w:t>
            </w:r>
          </w:p>
        </w:tc>
      </w:tr>
    </w:tbl>
    <w:p w14:paraId="128B3039" w14:textId="77777777" w:rsidR="00A05504" w:rsidRPr="00CB2FD0" w:rsidRDefault="00A05504" w:rsidP="00A05504">
      <w:pPr>
        <w:pStyle w:val="a3"/>
        <w:rPr>
          <w:rFonts w:ascii="Arial" w:hAnsi="Arial" w:cs="Arial"/>
          <w:sz w:val="20"/>
          <w:szCs w:val="20"/>
          <w:lang w:val="en-US"/>
        </w:rPr>
      </w:pPr>
    </w:p>
    <w:p w14:paraId="46F09758" w14:textId="54A13271" w:rsidR="00A925C7" w:rsidRPr="00CB2FD0" w:rsidRDefault="00A925C7" w:rsidP="001D4092">
      <w:pPr>
        <w:pStyle w:val="a3"/>
        <w:numPr>
          <w:ilvl w:val="0"/>
          <w:numId w:val="1"/>
        </w:numPr>
        <w:rPr>
          <w:rFonts w:ascii="Arial" w:hAnsi="Arial" w:cs="Arial"/>
          <w:b/>
          <w:bCs/>
          <w:sz w:val="20"/>
          <w:szCs w:val="20"/>
          <w:lang w:val="en-US"/>
        </w:rPr>
      </w:pPr>
      <w:r w:rsidRPr="00CB2FD0">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CB2FD0" w14:paraId="2085BD94" w14:textId="77777777" w:rsidTr="00102ACA">
        <w:trPr>
          <w:trHeight w:val="525"/>
        </w:trPr>
        <w:tc>
          <w:tcPr>
            <w:tcW w:w="9634" w:type="dxa"/>
          </w:tcPr>
          <w:p w14:paraId="779A2BCD" w14:textId="77777777" w:rsidR="00102ACA" w:rsidRPr="00CB2FD0" w:rsidRDefault="00102ACA" w:rsidP="00102ACA">
            <w:pPr>
              <w:rPr>
                <w:rFonts w:ascii="Arial" w:hAnsi="Arial" w:cs="Arial"/>
                <w:sz w:val="20"/>
                <w:szCs w:val="20"/>
                <w:lang w:val="en-US"/>
              </w:rPr>
            </w:pPr>
            <w:r w:rsidRPr="00CB2FD0">
              <w:rPr>
                <w:rFonts w:ascii="Arial" w:hAnsi="Arial" w:cs="Arial"/>
                <w:sz w:val="20"/>
                <w:szCs w:val="20"/>
                <w:lang w:val="en-US"/>
              </w:rPr>
              <w:lastRenderedPageBreak/>
              <w:t>lecture, seminar</w:t>
            </w:r>
          </w:p>
          <w:p w14:paraId="1D354ADD" w14:textId="77777777" w:rsidR="00A05504" w:rsidRPr="00CB2FD0" w:rsidRDefault="00A05504" w:rsidP="00100E73">
            <w:pPr>
              <w:pStyle w:val="a3"/>
              <w:ind w:left="0"/>
              <w:rPr>
                <w:rFonts w:ascii="Arial" w:hAnsi="Arial" w:cs="Arial"/>
                <w:sz w:val="20"/>
                <w:szCs w:val="20"/>
              </w:rPr>
            </w:pPr>
          </w:p>
        </w:tc>
      </w:tr>
    </w:tbl>
    <w:p w14:paraId="4718F177" w14:textId="77777777" w:rsidR="00A05504" w:rsidRPr="00CB2FD0" w:rsidRDefault="00A05504" w:rsidP="00A05504">
      <w:pPr>
        <w:pStyle w:val="a3"/>
        <w:rPr>
          <w:rFonts w:ascii="Arial" w:hAnsi="Arial" w:cs="Arial"/>
          <w:sz w:val="20"/>
          <w:szCs w:val="20"/>
          <w:lang w:val="en-US"/>
        </w:rPr>
      </w:pPr>
    </w:p>
    <w:p w14:paraId="56ABFEB4" w14:textId="03FE8B68" w:rsidR="00A925C7" w:rsidRPr="00CB2FD0" w:rsidRDefault="00A925C7" w:rsidP="00D166BE">
      <w:pPr>
        <w:pStyle w:val="a3"/>
        <w:numPr>
          <w:ilvl w:val="0"/>
          <w:numId w:val="1"/>
        </w:numPr>
        <w:spacing w:line="360" w:lineRule="auto"/>
        <w:rPr>
          <w:rFonts w:ascii="Arial" w:hAnsi="Arial" w:cs="Arial"/>
          <w:b/>
          <w:bCs/>
          <w:sz w:val="20"/>
          <w:szCs w:val="20"/>
          <w:lang w:val="en-US"/>
        </w:rPr>
      </w:pPr>
      <w:r w:rsidRPr="00CB2FD0">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CB2FD0" w14:paraId="36958F76" w14:textId="77777777" w:rsidTr="00CB2FD0">
        <w:trPr>
          <w:trHeight w:val="552"/>
        </w:trPr>
        <w:tc>
          <w:tcPr>
            <w:tcW w:w="9634" w:type="dxa"/>
          </w:tcPr>
          <w:p w14:paraId="5F896FDE" w14:textId="3FBB7E05" w:rsidR="00A05504" w:rsidRPr="00CB2FD0" w:rsidRDefault="00CB2FD0" w:rsidP="00100E73">
            <w:pPr>
              <w:pStyle w:val="a3"/>
              <w:ind w:left="0"/>
              <w:rPr>
                <w:rFonts w:ascii="Arial" w:hAnsi="Arial" w:cs="Arial"/>
                <w:sz w:val="20"/>
                <w:szCs w:val="20"/>
                <w:lang w:val="en-US"/>
              </w:rPr>
            </w:pPr>
            <w:r>
              <w:rPr>
                <w:rFonts w:ascii="Arial" w:hAnsi="Arial" w:cs="Arial"/>
                <w:sz w:val="20"/>
                <w:szCs w:val="20"/>
                <w:lang w:val="en-US"/>
              </w:rPr>
              <w:t>Pass-fail test</w:t>
            </w:r>
          </w:p>
        </w:tc>
      </w:tr>
    </w:tbl>
    <w:p w14:paraId="5736B539" w14:textId="77777777" w:rsidR="00A05504" w:rsidRPr="00CB2FD0" w:rsidRDefault="00A05504" w:rsidP="00A05504">
      <w:pPr>
        <w:pStyle w:val="a3"/>
        <w:rPr>
          <w:rFonts w:ascii="Arial" w:hAnsi="Arial" w:cs="Arial"/>
          <w:sz w:val="20"/>
          <w:szCs w:val="20"/>
          <w:lang w:val="en-US"/>
        </w:rPr>
      </w:pPr>
    </w:p>
    <w:p w14:paraId="06A06E77" w14:textId="27CF9A11" w:rsidR="00A925C7" w:rsidRPr="00CB2FD0" w:rsidRDefault="00A925C7" w:rsidP="001D4092">
      <w:pPr>
        <w:pStyle w:val="a3"/>
        <w:numPr>
          <w:ilvl w:val="0"/>
          <w:numId w:val="1"/>
        </w:numPr>
        <w:rPr>
          <w:rFonts w:ascii="Arial" w:hAnsi="Arial" w:cs="Arial"/>
          <w:b/>
          <w:bCs/>
          <w:sz w:val="20"/>
          <w:szCs w:val="20"/>
          <w:lang w:val="en-US"/>
        </w:rPr>
      </w:pPr>
      <w:r w:rsidRPr="00CB2FD0">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CB2FD0" w14:paraId="3708B0FB" w14:textId="77777777" w:rsidTr="00100E73">
        <w:trPr>
          <w:trHeight w:val="777"/>
        </w:trPr>
        <w:tc>
          <w:tcPr>
            <w:tcW w:w="9634" w:type="dxa"/>
          </w:tcPr>
          <w:p w14:paraId="1A292F43" w14:textId="25230F41" w:rsidR="001F031E" w:rsidRPr="00CB2FD0" w:rsidRDefault="001F031E" w:rsidP="001F031E">
            <w:pPr>
              <w:pStyle w:val="a3"/>
              <w:numPr>
                <w:ilvl w:val="0"/>
                <w:numId w:val="3"/>
              </w:numPr>
              <w:rPr>
                <w:rFonts w:ascii="Arial" w:hAnsi="Arial" w:cs="Arial"/>
                <w:sz w:val="20"/>
                <w:szCs w:val="20"/>
                <w:lang w:val="en-US"/>
              </w:rPr>
            </w:pPr>
            <w:r w:rsidRPr="00CB2FD0">
              <w:rPr>
                <w:rFonts w:ascii="Arial" w:hAnsi="Arial" w:cs="Arial"/>
                <w:sz w:val="20"/>
                <w:szCs w:val="20"/>
                <w:lang w:val="en-US"/>
              </w:rPr>
              <w:t>History of Latin America. 1 918-1945 / Ed. ed. N.P. Kalmykov - Moscow: Nauka, 1999 .</w:t>
            </w:r>
            <w:r w:rsidR="005F19C4" w:rsidRPr="00CB2FD0">
              <w:rPr>
                <w:rFonts w:ascii="Arial" w:hAnsi="Arial" w:cs="Arial"/>
                <w:sz w:val="20"/>
                <w:szCs w:val="20"/>
                <w:lang w:val="en-US"/>
              </w:rPr>
              <w:t xml:space="preserve"> </w:t>
            </w:r>
            <w:r w:rsidRPr="00CB2FD0">
              <w:rPr>
                <w:rFonts w:ascii="Arial" w:hAnsi="Arial" w:cs="Arial"/>
                <w:sz w:val="20"/>
                <w:szCs w:val="20"/>
                <w:lang w:val="en-US"/>
              </w:rPr>
              <w:t>-- 485 p.</w:t>
            </w:r>
          </w:p>
          <w:p w14:paraId="4269CAB5" w14:textId="4D0CFBFE" w:rsidR="001F031E" w:rsidRPr="00CB2FD0" w:rsidRDefault="001F031E" w:rsidP="001F031E">
            <w:pPr>
              <w:pStyle w:val="a3"/>
              <w:numPr>
                <w:ilvl w:val="0"/>
                <w:numId w:val="3"/>
              </w:numPr>
              <w:rPr>
                <w:rFonts w:ascii="Arial" w:hAnsi="Arial" w:cs="Arial"/>
                <w:sz w:val="20"/>
                <w:szCs w:val="20"/>
                <w:lang w:val="en-US"/>
              </w:rPr>
            </w:pPr>
            <w:r w:rsidRPr="00CB2FD0">
              <w:rPr>
                <w:rFonts w:ascii="Arial" w:hAnsi="Arial" w:cs="Arial"/>
                <w:sz w:val="20"/>
                <w:szCs w:val="20"/>
                <w:lang w:val="en-US"/>
              </w:rPr>
              <w:t>History of Latin America [Text]: The second half of the XX century / VL Lober, NP Kalmykov, VP Kazakov [and others]; Grew up. acad. Sciences, Institute of General. stories; otv. ed. E. A. Larin - Moscow: Nauka, 2004 .</w:t>
            </w:r>
            <w:r w:rsidR="005F19C4" w:rsidRPr="00CB2FD0">
              <w:rPr>
                <w:rFonts w:ascii="Arial" w:hAnsi="Arial" w:cs="Arial"/>
                <w:sz w:val="20"/>
                <w:szCs w:val="20"/>
                <w:lang w:val="en-US"/>
              </w:rPr>
              <w:t xml:space="preserve"> </w:t>
            </w:r>
            <w:r w:rsidRPr="00CB2FD0">
              <w:rPr>
                <w:rFonts w:ascii="Arial" w:hAnsi="Arial" w:cs="Arial"/>
                <w:sz w:val="20"/>
                <w:szCs w:val="20"/>
                <w:lang w:val="en-US"/>
              </w:rPr>
              <w:t>-- 607 p.</w:t>
            </w:r>
          </w:p>
          <w:p w14:paraId="75459DAB" w14:textId="77777777" w:rsidR="001F031E" w:rsidRPr="00CB2FD0" w:rsidRDefault="001F031E" w:rsidP="001F031E">
            <w:pPr>
              <w:pStyle w:val="a3"/>
              <w:numPr>
                <w:ilvl w:val="0"/>
                <w:numId w:val="3"/>
              </w:numPr>
              <w:rPr>
                <w:rFonts w:ascii="Arial" w:hAnsi="Arial" w:cs="Arial"/>
                <w:sz w:val="20"/>
                <w:szCs w:val="20"/>
                <w:lang w:val="en-US"/>
              </w:rPr>
            </w:pPr>
            <w:r w:rsidRPr="00CB2FD0">
              <w:rPr>
                <w:rFonts w:ascii="Arial" w:hAnsi="Arial" w:cs="Arial"/>
                <w:sz w:val="20"/>
                <w:szCs w:val="20"/>
                <w:lang w:val="en-US"/>
              </w:rPr>
              <w:t>Political history of Latin American countries in the 19th century [Text] / [E. A. Larin and others]; editorial board: E. A. Larin (editor-in-chief) [and others; Russian acad. sciences, Institute of universal history] - Moscow: Nauka, 2010. - 767 p.</w:t>
            </w:r>
          </w:p>
          <w:p w14:paraId="248FADBB" w14:textId="062C0EC7" w:rsidR="00A05504" w:rsidRPr="00CB2FD0" w:rsidRDefault="001F031E" w:rsidP="001F031E">
            <w:pPr>
              <w:pStyle w:val="a3"/>
              <w:numPr>
                <w:ilvl w:val="0"/>
                <w:numId w:val="3"/>
              </w:numPr>
              <w:rPr>
                <w:rFonts w:ascii="Arial" w:hAnsi="Arial" w:cs="Arial"/>
                <w:sz w:val="20"/>
                <w:szCs w:val="20"/>
                <w:lang w:val="en-US"/>
              </w:rPr>
            </w:pPr>
            <w:r w:rsidRPr="00CB2FD0">
              <w:rPr>
                <w:rFonts w:ascii="Arial" w:hAnsi="Arial" w:cs="Arial"/>
                <w:sz w:val="20"/>
                <w:szCs w:val="20"/>
                <w:lang w:val="en-US"/>
              </w:rPr>
              <w:t>Zelenskaya T.V. History of the countries of Western Europe and America in modern times: textbook / T.V. Zelenskaya - M. | Berlin: Direct-Media, 2014 .</w:t>
            </w:r>
            <w:r w:rsidR="005F19C4" w:rsidRPr="00CB2FD0">
              <w:rPr>
                <w:rFonts w:ascii="Arial" w:hAnsi="Arial" w:cs="Arial"/>
                <w:sz w:val="20"/>
                <w:szCs w:val="20"/>
                <w:lang w:val="en-US"/>
              </w:rPr>
              <w:t xml:space="preserve"> </w:t>
            </w:r>
            <w:r w:rsidRPr="00CB2FD0">
              <w:rPr>
                <w:rFonts w:ascii="Arial" w:hAnsi="Arial" w:cs="Arial"/>
                <w:sz w:val="20"/>
                <w:szCs w:val="20"/>
                <w:lang w:val="en-US"/>
              </w:rPr>
              <w:t>-- 377 p.</w:t>
            </w:r>
          </w:p>
        </w:tc>
      </w:tr>
    </w:tbl>
    <w:p w14:paraId="625651DE" w14:textId="77777777" w:rsidR="00A05504" w:rsidRPr="00CB2FD0" w:rsidRDefault="00A05504" w:rsidP="00A05504">
      <w:pPr>
        <w:pStyle w:val="a3"/>
        <w:rPr>
          <w:rFonts w:ascii="Arial" w:hAnsi="Arial" w:cs="Arial"/>
          <w:sz w:val="20"/>
          <w:szCs w:val="20"/>
          <w:lang w:val="en-US"/>
        </w:rPr>
      </w:pPr>
    </w:p>
    <w:p w14:paraId="155C26A3" w14:textId="0B42F609" w:rsidR="00A925C7" w:rsidRPr="00CB2FD0" w:rsidRDefault="00A925C7" w:rsidP="00A925C7">
      <w:pPr>
        <w:pStyle w:val="a3"/>
        <w:rPr>
          <w:rFonts w:ascii="Arial" w:hAnsi="Arial" w:cs="Arial"/>
          <w:sz w:val="20"/>
          <w:szCs w:val="20"/>
          <w:lang w:val="en-US"/>
        </w:rPr>
      </w:pPr>
    </w:p>
    <w:p w14:paraId="22E5814D" w14:textId="599E2C21" w:rsidR="00A925C7" w:rsidRPr="00CB2FD0" w:rsidRDefault="00A925C7" w:rsidP="00A925C7">
      <w:pPr>
        <w:pStyle w:val="a3"/>
        <w:rPr>
          <w:rFonts w:ascii="Arial" w:hAnsi="Arial" w:cs="Arial"/>
          <w:sz w:val="20"/>
          <w:szCs w:val="20"/>
          <w:lang w:val="en-US"/>
        </w:rPr>
      </w:pPr>
    </w:p>
    <w:p w14:paraId="240FE0EE" w14:textId="77777777" w:rsidR="00A925C7" w:rsidRPr="00CB2FD0" w:rsidRDefault="00A925C7" w:rsidP="00A925C7">
      <w:pPr>
        <w:pStyle w:val="a3"/>
        <w:rPr>
          <w:rFonts w:ascii="Arial" w:hAnsi="Arial" w:cs="Arial"/>
          <w:sz w:val="20"/>
          <w:szCs w:val="20"/>
          <w:lang w:val="en-US"/>
        </w:rPr>
      </w:pPr>
    </w:p>
    <w:sectPr w:rsidR="00A925C7" w:rsidRPr="00CB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13BE7"/>
    <w:multiLevelType w:val="multilevel"/>
    <w:tmpl w:val="AF34E16A"/>
    <w:lvl w:ilvl="0">
      <w:start w:val="1"/>
      <w:numFmt w:val="decimal"/>
      <w:lvlText w:val="%1."/>
      <w:lvlJc w:val="left"/>
      <w:pPr>
        <w:tabs>
          <w:tab w:val="num" w:pos="0"/>
        </w:tabs>
        <w:ind w:left="360" w:hanging="360"/>
      </w:pPr>
      <w:rPr>
        <w:rFonts w:ascii="Times New Roman" w:hAnsi="Times New Roman" w:cs="Times New Roman"/>
        <w:b/>
        <w:iCs/>
        <w:color w:val="000000"/>
        <w:spacing w:val="2"/>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500D58"/>
    <w:multiLevelType w:val="hybridMultilevel"/>
    <w:tmpl w:val="1DF49BA0"/>
    <w:lvl w:ilvl="0" w:tplc="4300BF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0"/>
  </w:num>
  <w:num w:numId="2" w16cid:durableId="1208103588">
    <w:abstractNumId w:val="1"/>
  </w:num>
  <w:num w:numId="3" w16cid:durableId="517357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D3793"/>
    <w:rsid w:val="00102ACA"/>
    <w:rsid w:val="00115BFF"/>
    <w:rsid w:val="001972CC"/>
    <w:rsid w:val="001D4092"/>
    <w:rsid w:val="001F031E"/>
    <w:rsid w:val="002535AE"/>
    <w:rsid w:val="00257892"/>
    <w:rsid w:val="002E6CD5"/>
    <w:rsid w:val="00345E1C"/>
    <w:rsid w:val="003B68D0"/>
    <w:rsid w:val="003C611A"/>
    <w:rsid w:val="003F1982"/>
    <w:rsid w:val="004D5CB9"/>
    <w:rsid w:val="005616C4"/>
    <w:rsid w:val="00576AE4"/>
    <w:rsid w:val="005F19C4"/>
    <w:rsid w:val="00713C22"/>
    <w:rsid w:val="0085212A"/>
    <w:rsid w:val="008A683A"/>
    <w:rsid w:val="008E220C"/>
    <w:rsid w:val="008F5C24"/>
    <w:rsid w:val="00994CB7"/>
    <w:rsid w:val="00997864"/>
    <w:rsid w:val="00A05504"/>
    <w:rsid w:val="00A05BE3"/>
    <w:rsid w:val="00A925C7"/>
    <w:rsid w:val="00B1381B"/>
    <w:rsid w:val="00B833B4"/>
    <w:rsid w:val="00BD2C0F"/>
    <w:rsid w:val="00CB2FD0"/>
    <w:rsid w:val="00D065E8"/>
    <w:rsid w:val="00D166BE"/>
    <w:rsid w:val="00D55A4E"/>
    <w:rsid w:val="00D837C3"/>
    <w:rsid w:val="00D936A1"/>
    <w:rsid w:val="00F8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936A1"/>
    <w:rPr>
      <w:color w:val="0563C1" w:themeColor="hyperlink"/>
      <w:u w:val="single"/>
    </w:rPr>
  </w:style>
  <w:style w:type="character" w:styleId="a6">
    <w:name w:val="Unresolved Mention"/>
    <w:basedOn w:val="a0"/>
    <w:uiPriority w:val="99"/>
    <w:semiHidden/>
    <w:unhideWhenUsed/>
    <w:rsid w:val="00D9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gal@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40</cp:revision>
  <dcterms:created xsi:type="dcterms:W3CDTF">2022-04-25T06:00:00Z</dcterms:created>
  <dcterms:modified xsi:type="dcterms:W3CDTF">2022-06-24T10:48:00Z</dcterms:modified>
</cp:coreProperties>
</file>