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731910" w14:paraId="6C5560F1" w14:textId="77777777" w:rsidTr="00731910">
        <w:trPr>
          <w:trHeight w:val="1559"/>
        </w:trPr>
        <w:tc>
          <w:tcPr>
            <w:tcW w:w="3407" w:type="dxa"/>
            <w:tcBorders>
              <w:top w:val="nil"/>
              <w:left w:val="nil"/>
              <w:bottom w:val="nil"/>
              <w:right w:val="nil"/>
            </w:tcBorders>
            <w:hideMark/>
          </w:tcPr>
          <w:p w14:paraId="6FB9851D" w14:textId="600349BB" w:rsidR="00731910" w:rsidRDefault="00731910">
            <w:pPr>
              <w:rPr>
                <w:rFonts w:ascii="Arial" w:hAnsi="Arial" w:cs="Arial"/>
                <w:sz w:val="20"/>
                <w:szCs w:val="20"/>
              </w:rPr>
            </w:pPr>
            <w:r>
              <w:rPr>
                <w:noProof/>
              </w:rPr>
              <w:drawing>
                <wp:anchor distT="0" distB="0" distL="114300" distR="114300" simplePos="0" relativeHeight="251659264" behindDoc="0" locked="0" layoutInCell="1" allowOverlap="1" wp14:anchorId="208D81CE" wp14:editId="2E4D214D">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  </w:t>
            </w:r>
          </w:p>
        </w:tc>
        <w:tc>
          <w:tcPr>
            <w:tcW w:w="6510" w:type="dxa"/>
            <w:tcBorders>
              <w:top w:val="nil"/>
              <w:left w:val="nil"/>
              <w:bottom w:val="nil"/>
              <w:right w:val="nil"/>
            </w:tcBorders>
            <w:vAlign w:val="center"/>
            <w:hideMark/>
          </w:tcPr>
          <w:p w14:paraId="3B349C1A" w14:textId="77777777" w:rsidR="00731910" w:rsidRDefault="00731910">
            <w:pPr>
              <w:jc w:val="center"/>
              <w:rPr>
                <w:rFonts w:ascii="Arial" w:hAnsi="Arial" w:cs="Arial"/>
                <w:b/>
                <w:bCs/>
                <w:sz w:val="20"/>
                <w:szCs w:val="20"/>
                <w:lang w:val="en-US"/>
              </w:rPr>
            </w:pPr>
            <w:r>
              <w:rPr>
                <w:rFonts w:ascii="Arial" w:hAnsi="Arial" w:cs="Arial"/>
                <w:b/>
                <w:bCs/>
                <w:sz w:val="32"/>
                <w:szCs w:val="32"/>
                <w:lang w:val="en-US"/>
              </w:rPr>
              <w:t>Course Syllabus</w:t>
            </w:r>
          </w:p>
        </w:tc>
      </w:tr>
    </w:tbl>
    <w:p w14:paraId="40F99770" w14:textId="423372F6" w:rsidR="00D55A4E" w:rsidRPr="00731910" w:rsidRDefault="00D55A4E">
      <w:pPr>
        <w:rPr>
          <w:rFonts w:ascii="Arial" w:hAnsi="Arial" w:cs="Arial"/>
          <w:sz w:val="20"/>
          <w:szCs w:val="20"/>
        </w:rPr>
      </w:pPr>
    </w:p>
    <w:p w14:paraId="6CCB086E" w14:textId="5CB951DC" w:rsidR="00D55A4E" w:rsidRPr="00731910" w:rsidRDefault="00D55A4E" w:rsidP="00115BFF">
      <w:pPr>
        <w:pStyle w:val="a3"/>
        <w:numPr>
          <w:ilvl w:val="0"/>
          <w:numId w:val="1"/>
        </w:numPr>
        <w:rPr>
          <w:rFonts w:ascii="Arial" w:hAnsi="Arial" w:cs="Arial"/>
          <w:b/>
          <w:bCs/>
          <w:sz w:val="20"/>
          <w:szCs w:val="20"/>
        </w:rPr>
      </w:pPr>
      <w:r w:rsidRPr="00731910">
        <w:rPr>
          <w:rFonts w:ascii="Arial" w:hAnsi="Arial" w:cs="Arial"/>
          <w:b/>
          <w:bCs/>
          <w:sz w:val="20"/>
          <w:szCs w:val="20"/>
          <w:lang w:val="en-US"/>
        </w:rPr>
        <w:t>Course Title</w:t>
      </w:r>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731910" w14:paraId="66475ED8" w14:textId="77777777" w:rsidTr="00731910">
        <w:trPr>
          <w:trHeight w:val="405"/>
        </w:trPr>
        <w:tc>
          <w:tcPr>
            <w:tcW w:w="9634" w:type="dxa"/>
          </w:tcPr>
          <w:p w14:paraId="195B7FED" w14:textId="6CFCADC1" w:rsidR="00257892" w:rsidRPr="00731910" w:rsidRDefault="007654EA" w:rsidP="00D55A4E">
            <w:pPr>
              <w:pStyle w:val="a3"/>
              <w:ind w:left="0"/>
              <w:rPr>
                <w:rFonts w:ascii="Arial" w:hAnsi="Arial" w:cs="Arial"/>
                <w:sz w:val="20"/>
                <w:szCs w:val="20"/>
                <w:lang w:val="en-US"/>
              </w:rPr>
            </w:pPr>
            <w:bookmarkStart w:id="0" w:name="_Hlk101769815"/>
            <w:r w:rsidRPr="00731910">
              <w:rPr>
                <w:rFonts w:ascii="Arial" w:hAnsi="Arial" w:cs="Arial"/>
                <w:sz w:val="20"/>
                <w:szCs w:val="20"/>
                <w:lang w:val="en-US"/>
              </w:rPr>
              <w:t>Formal and informal political organizations in the USSR and post-socialist</w:t>
            </w:r>
            <w:r w:rsidR="005C2E6B" w:rsidRPr="00731910">
              <w:rPr>
                <w:rFonts w:ascii="Arial" w:hAnsi="Arial" w:cs="Arial"/>
                <w:sz w:val="20"/>
                <w:szCs w:val="20"/>
                <w:lang w:val="en-US"/>
              </w:rPr>
              <w:t xml:space="preserve"> Countries</w:t>
            </w:r>
          </w:p>
        </w:tc>
      </w:tr>
      <w:bookmarkEnd w:id="0"/>
    </w:tbl>
    <w:p w14:paraId="5C505587" w14:textId="1409DBFA" w:rsidR="00D55A4E" w:rsidRPr="00731910" w:rsidRDefault="00D55A4E" w:rsidP="00D55A4E">
      <w:pPr>
        <w:pStyle w:val="a3"/>
        <w:rPr>
          <w:rFonts w:ascii="Arial" w:hAnsi="Arial" w:cs="Arial"/>
          <w:sz w:val="20"/>
          <w:szCs w:val="20"/>
          <w:lang w:val="en-US"/>
        </w:rPr>
      </w:pPr>
    </w:p>
    <w:p w14:paraId="58A4C43B" w14:textId="1506838B" w:rsidR="00345E1C" w:rsidRPr="00731910" w:rsidRDefault="00345E1C" w:rsidP="001D4092">
      <w:pPr>
        <w:pStyle w:val="a3"/>
        <w:numPr>
          <w:ilvl w:val="0"/>
          <w:numId w:val="1"/>
        </w:numPr>
        <w:rPr>
          <w:rFonts w:ascii="Arial" w:hAnsi="Arial" w:cs="Arial"/>
          <w:b/>
          <w:bCs/>
          <w:sz w:val="20"/>
          <w:szCs w:val="20"/>
        </w:rPr>
      </w:pPr>
      <w:proofErr w:type="spellStart"/>
      <w:r w:rsidRPr="00731910">
        <w:rPr>
          <w:rFonts w:ascii="Arial" w:hAnsi="Arial" w:cs="Arial"/>
          <w:b/>
          <w:bCs/>
          <w:sz w:val="20"/>
          <w:szCs w:val="20"/>
        </w:rPr>
        <w:t>Academic</w:t>
      </w:r>
      <w:proofErr w:type="spellEnd"/>
      <w:r w:rsidRPr="00731910">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731910" w14:paraId="7BA167CB" w14:textId="77777777" w:rsidTr="00994CB7">
        <w:trPr>
          <w:trHeight w:val="467"/>
        </w:trPr>
        <w:tc>
          <w:tcPr>
            <w:tcW w:w="9634" w:type="dxa"/>
          </w:tcPr>
          <w:p w14:paraId="31C55D84" w14:textId="525ADB19" w:rsidR="004D5CB9" w:rsidRPr="00731910" w:rsidRDefault="004D5CB9" w:rsidP="00100E73">
            <w:pPr>
              <w:pStyle w:val="a3"/>
              <w:ind w:left="0"/>
              <w:rPr>
                <w:rFonts w:ascii="Arial" w:hAnsi="Arial" w:cs="Arial"/>
                <w:sz w:val="20"/>
                <w:szCs w:val="20"/>
              </w:rPr>
            </w:pPr>
            <w:bookmarkStart w:id="1" w:name="_Hlk101769871"/>
            <w:r w:rsidRPr="00731910">
              <w:rPr>
                <w:rFonts w:ascii="Arial" w:hAnsi="Arial" w:cs="Arial"/>
                <w:sz w:val="20"/>
                <w:szCs w:val="20"/>
              </w:rPr>
              <w:t>Master</w:t>
            </w:r>
          </w:p>
        </w:tc>
      </w:tr>
      <w:bookmarkEnd w:id="1"/>
    </w:tbl>
    <w:p w14:paraId="0A8D478D" w14:textId="77777777" w:rsidR="00345E1C" w:rsidRPr="00731910" w:rsidRDefault="00345E1C" w:rsidP="00345E1C">
      <w:pPr>
        <w:pStyle w:val="a3"/>
        <w:rPr>
          <w:rFonts w:ascii="Arial" w:hAnsi="Arial" w:cs="Arial"/>
          <w:sz w:val="20"/>
          <w:szCs w:val="20"/>
        </w:rPr>
      </w:pPr>
    </w:p>
    <w:p w14:paraId="323EAA1A" w14:textId="62897932" w:rsidR="00BD2C0F" w:rsidRPr="00731910" w:rsidRDefault="00BD2C0F" w:rsidP="001D4092">
      <w:pPr>
        <w:pStyle w:val="a3"/>
        <w:numPr>
          <w:ilvl w:val="0"/>
          <w:numId w:val="1"/>
        </w:numPr>
        <w:rPr>
          <w:rFonts w:ascii="Arial" w:hAnsi="Arial" w:cs="Arial"/>
          <w:b/>
          <w:bCs/>
          <w:sz w:val="20"/>
          <w:szCs w:val="20"/>
        </w:rPr>
      </w:pPr>
      <w:r w:rsidRPr="00731910">
        <w:rPr>
          <w:rFonts w:ascii="Arial" w:hAnsi="Arial" w:cs="Arial"/>
          <w:b/>
          <w:bCs/>
          <w:sz w:val="20"/>
          <w:szCs w:val="20"/>
        </w:rPr>
        <w:t xml:space="preserve">ECTS </w:t>
      </w:r>
      <w:proofErr w:type="spellStart"/>
      <w:r w:rsidRPr="00731910">
        <w:rPr>
          <w:rFonts w:ascii="Arial" w:hAnsi="Arial" w:cs="Arial"/>
          <w:b/>
          <w:bCs/>
          <w:sz w:val="20"/>
          <w:szCs w:val="20"/>
        </w:rPr>
        <w:t>Credits</w:t>
      </w:r>
      <w:proofErr w:type="spellEnd"/>
      <w:r w:rsidRPr="00731910">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731910" w14:paraId="14B64FB5" w14:textId="77777777" w:rsidTr="00994CB7">
        <w:trPr>
          <w:trHeight w:val="385"/>
        </w:trPr>
        <w:tc>
          <w:tcPr>
            <w:tcW w:w="9634" w:type="dxa"/>
          </w:tcPr>
          <w:p w14:paraId="77B5CE3F" w14:textId="3FDE46FF" w:rsidR="00BD2C0F" w:rsidRPr="00731910" w:rsidRDefault="00994CB7" w:rsidP="00100E73">
            <w:pPr>
              <w:pStyle w:val="a3"/>
              <w:ind w:left="0"/>
              <w:rPr>
                <w:rFonts w:ascii="Arial" w:hAnsi="Arial" w:cs="Arial"/>
                <w:sz w:val="20"/>
                <w:szCs w:val="20"/>
              </w:rPr>
            </w:pPr>
            <w:bookmarkStart w:id="2" w:name="_Hlk101769914"/>
            <w:r w:rsidRPr="00731910">
              <w:rPr>
                <w:rFonts w:ascii="Arial" w:hAnsi="Arial" w:cs="Arial"/>
                <w:sz w:val="20"/>
                <w:szCs w:val="20"/>
                <w:lang w:val="en-US"/>
              </w:rPr>
              <w:t>5 ECTS</w:t>
            </w:r>
          </w:p>
        </w:tc>
      </w:tr>
      <w:bookmarkEnd w:id="2"/>
    </w:tbl>
    <w:p w14:paraId="3A1ACB52" w14:textId="29107227" w:rsidR="00BD2C0F" w:rsidRPr="00731910" w:rsidRDefault="00BD2C0F" w:rsidP="00BD2C0F">
      <w:pPr>
        <w:rPr>
          <w:rFonts w:ascii="Arial" w:hAnsi="Arial" w:cs="Arial"/>
          <w:sz w:val="20"/>
          <w:szCs w:val="20"/>
        </w:rPr>
      </w:pPr>
    </w:p>
    <w:p w14:paraId="76F7F950" w14:textId="2582DA14" w:rsidR="00BD2C0F" w:rsidRPr="00731910" w:rsidRDefault="001D4092" w:rsidP="00BD2C0F">
      <w:pPr>
        <w:pStyle w:val="a3"/>
        <w:numPr>
          <w:ilvl w:val="0"/>
          <w:numId w:val="1"/>
        </w:numPr>
        <w:rPr>
          <w:rFonts w:ascii="Arial" w:hAnsi="Arial" w:cs="Arial"/>
          <w:b/>
          <w:bCs/>
          <w:sz w:val="20"/>
          <w:szCs w:val="20"/>
        </w:rPr>
      </w:pPr>
      <w:proofErr w:type="spellStart"/>
      <w:r w:rsidRPr="00731910">
        <w:rPr>
          <w:rFonts w:ascii="Arial" w:hAnsi="Arial" w:cs="Arial"/>
          <w:b/>
          <w:bCs/>
          <w:sz w:val="20"/>
          <w:szCs w:val="20"/>
        </w:rPr>
        <w:t>Semester</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731910" w14:paraId="311FB479" w14:textId="77777777" w:rsidTr="002E6CD5">
        <w:trPr>
          <w:trHeight w:val="541"/>
        </w:trPr>
        <w:tc>
          <w:tcPr>
            <w:tcW w:w="9634" w:type="dxa"/>
          </w:tcPr>
          <w:p w14:paraId="4AC63658" w14:textId="5BDBA602" w:rsidR="001D4092" w:rsidRPr="00731910" w:rsidRDefault="00BA5227" w:rsidP="00100E73">
            <w:pPr>
              <w:pStyle w:val="a3"/>
              <w:ind w:left="0"/>
              <w:rPr>
                <w:rFonts w:ascii="Arial" w:hAnsi="Arial" w:cs="Arial"/>
                <w:sz w:val="20"/>
                <w:szCs w:val="20"/>
              </w:rPr>
            </w:pPr>
            <w:bookmarkStart w:id="3" w:name="_Hlk101769966"/>
            <w:r w:rsidRPr="00731910">
              <w:rPr>
                <w:rFonts w:ascii="Arial" w:hAnsi="Arial" w:cs="Arial"/>
                <w:sz w:val="20"/>
                <w:szCs w:val="20"/>
                <w:lang w:val="en-US"/>
              </w:rPr>
              <w:t>2</w:t>
            </w:r>
            <w:r w:rsidR="002E6CD5" w:rsidRPr="00731910">
              <w:rPr>
                <w:rFonts w:ascii="Arial" w:hAnsi="Arial" w:cs="Arial"/>
                <w:sz w:val="20"/>
                <w:szCs w:val="20"/>
              </w:rPr>
              <w:t xml:space="preserve">, </w:t>
            </w:r>
            <w:r w:rsidRPr="00731910">
              <w:rPr>
                <w:rFonts w:ascii="Arial" w:hAnsi="Arial" w:cs="Arial"/>
                <w:sz w:val="20"/>
                <w:szCs w:val="20"/>
                <w:lang w:val="en-US"/>
              </w:rPr>
              <w:t>spring</w:t>
            </w:r>
            <w:r w:rsidR="002E6CD5" w:rsidRPr="00731910">
              <w:rPr>
                <w:rFonts w:ascii="Arial" w:hAnsi="Arial" w:cs="Arial"/>
                <w:sz w:val="20"/>
                <w:szCs w:val="20"/>
              </w:rPr>
              <w:t xml:space="preserve"> </w:t>
            </w:r>
            <w:proofErr w:type="spellStart"/>
            <w:r w:rsidR="002E6CD5" w:rsidRPr="00731910">
              <w:rPr>
                <w:rFonts w:ascii="Arial" w:hAnsi="Arial" w:cs="Arial"/>
                <w:sz w:val="20"/>
                <w:szCs w:val="20"/>
              </w:rPr>
              <w:t>semester</w:t>
            </w:r>
            <w:proofErr w:type="spellEnd"/>
          </w:p>
        </w:tc>
      </w:tr>
      <w:bookmarkEnd w:id="3"/>
    </w:tbl>
    <w:p w14:paraId="27F4FC0C" w14:textId="35F136CD" w:rsidR="001D4092" w:rsidRPr="00731910" w:rsidRDefault="001D4092" w:rsidP="001D4092">
      <w:pPr>
        <w:rPr>
          <w:rFonts w:ascii="Arial" w:hAnsi="Arial" w:cs="Arial"/>
          <w:sz w:val="20"/>
          <w:szCs w:val="20"/>
        </w:rPr>
      </w:pPr>
    </w:p>
    <w:p w14:paraId="25BCCCD4" w14:textId="7ABA2861" w:rsidR="001D4092" w:rsidRPr="00731910" w:rsidRDefault="001D4092" w:rsidP="001D4092">
      <w:pPr>
        <w:pStyle w:val="a3"/>
        <w:numPr>
          <w:ilvl w:val="0"/>
          <w:numId w:val="1"/>
        </w:numPr>
        <w:rPr>
          <w:rFonts w:ascii="Arial" w:hAnsi="Arial" w:cs="Arial"/>
          <w:b/>
          <w:bCs/>
          <w:sz w:val="20"/>
          <w:szCs w:val="20"/>
        </w:rPr>
      </w:pPr>
      <w:r w:rsidRPr="00731910">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731910" w14:paraId="1316B365" w14:textId="77777777" w:rsidTr="00A05BE3">
        <w:trPr>
          <w:trHeight w:val="478"/>
        </w:trPr>
        <w:tc>
          <w:tcPr>
            <w:tcW w:w="9634" w:type="dxa"/>
          </w:tcPr>
          <w:p w14:paraId="5E7FD833" w14:textId="77777777" w:rsidR="00A05BE3" w:rsidRPr="00731910" w:rsidRDefault="00A05BE3" w:rsidP="00A05BE3">
            <w:pPr>
              <w:rPr>
                <w:rFonts w:ascii="Arial" w:hAnsi="Arial" w:cs="Arial"/>
                <w:sz w:val="20"/>
                <w:szCs w:val="20"/>
                <w:lang w:val="en-US"/>
              </w:rPr>
            </w:pPr>
            <w:bookmarkStart w:id="4" w:name="_Hlk101770218"/>
            <w:r w:rsidRPr="00731910">
              <w:rPr>
                <w:rFonts w:ascii="Arial" w:hAnsi="Arial" w:cs="Arial"/>
                <w:sz w:val="20"/>
                <w:szCs w:val="20"/>
                <w:lang w:val="en-US"/>
              </w:rPr>
              <w:t>Institute of History and International Relations</w:t>
            </w:r>
          </w:p>
          <w:p w14:paraId="4123BD01" w14:textId="77777777" w:rsidR="001D4092" w:rsidRPr="00731910" w:rsidRDefault="001D4092" w:rsidP="00100E73">
            <w:pPr>
              <w:pStyle w:val="a3"/>
              <w:ind w:left="0"/>
              <w:rPr>
                <w:rFonts w:ascii="Arial" w:hAnsi="Arial" w:cs="Arial"/>
                <w:sz w:val="20"/>
                <w:szCs w:val="20"/>
                <w:lang w:val="en-US"/>
              </w:rPr>
            </w:pPr>
          </w:p>
        </w:tc>
      </w:tr>
      <w:bookmarkEnd w:id="4"/>
    </w:tbl>
    <w:p w14:paraId="05CA5E9D" w14:textId="68ECEFF9" w:rsidR="001D4092" w:rsidRPr="00731910" w:rsidRDefault="001D4092" w:rsidP="001D4092">
      <w:pPr>
        <w:rPr>
          <w:rFonts w:ascii="Arial" w:hAnsi="Arial" w:cs="Arial"/>
          <w:sz w:val="20"/>
          <w:szCs w:val="20"/>
          <w:lang w:val="en-US"/>
        </w:rPr>
      </w:pPr>
    </w:p>
    <w:p w14:paraId="64BF0BD5" w14:textId="1FDBF5ED" w:rsidR="001D4092" w:rsidRPr="00731910" w:rsidRDefault="00A925C7" w:rsidP="001D4092">
      <w:pPr>
        <w:pStyle w:val="a3"/>
        <w:numPr>
          <w:ilvl w:val="0"/>
          <w:numId w:val="1"/>
        </w:numPr>
        <w:rPr>
          <w:rFonts w:ascii="Arial" w:hAnsi="Arial" w:cs="Arial"/>
          <w:b/>
          <w:bCs/>
          <w:sz w:val="20"/>
          <w:szCs w:val="20"/>
        </w:rPr>
      </w:pPr>
      <w:proofErr w:type="spellStart"/>
      <w:r w:rsidRPr="00731910">
        <w:rPr>
          <w:rFonts w:ascii="Arial" w:hAnsi="Arial" w:cs="Arial"/>
          <w:b/>
          <w:bCs/>
          <w:sz w:val="20"/>
          <w:szCs w:val="20"/>
        </w:rPr>
        <w:t>Location</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31910" w14:paraId="08CEE7F1" w14:textId="77777777" w:rsidTr="000010DA">
        <w:trPr>
          <w:trHeight w:val="483"/>
        </w:trPr>
        <w:tc>
          <w:tcPr>
            <w:tcW w:w="9634" w:type="dxa"/>
          </w:tcPr>
          <w:p w14:paraId="0B31C0AD" w14:textId="5A8B68F9" w:rsidR="000010DA" w:rsidRPr="00731910" w:rsidRDefault="000010DA" w:rsidP="000010DA">
            <w:pPr>
              <w:rPr>
                <w:rFonts w:ascii="Arial" w:hAnsi="Arial" w:cs="Arial"/>
                <w:sz w:val="20"/>
                <w:szCs w:val="20"/>
                <w:lang w:val="en-US"/>
              </w:rPr>
            </w:pPr>
            <w:r w:rsidRPr="00731910">
              <w:rPr>
                <w:rFonts w:ascii="Arial" w:hAnsi="Arial" w:cs="Arial"/>
                <w:sz w:val="20"/>
                <w:szCs w:val="20"/>
                <w:lang w:val="en-US"/>
              </w:rPr>
              <w:t xml:space="preserve">140 </w:t>
            </w:r>
            <w:proofErr w:type="spellStart"/>
            <w:r w:rsidRPr="00731910">
              <w:rPr>
                <w:rFonts w:ascii="Arial" w:hAnsi="Arial" w:cs="Arial"/>
                <w:sz w:val="20"/>
                <w:szCs w:val="20"/>
                <w:lang w:val="en-US"/>
              </w:rPr>
              <w:t>Pushkinskaya</w:t>
            </w:r>
            <w:proofErr w:type="spellEnd"/>
            <w:r w:rsidRPr="00731910">
              <w:rPr>
                <w:rFonts w:ascii="Arial" w:hAnsi="Arial" w:cs="Arial"/>
                <w:sz w:val="20"/>
                <w:szCs w:val="20"/>
                <w:lang w:val="en-US"/>
              </w:rPr>
              <w:t xml:space="preserve"> St., Rostov-on-Don </w:t>
            </w:r>
          </w:p>
          <w:p w14:paraId="5E51F272" w14:textId="77777777" w:rsidR="00A05504" w:rsidRPr="00731910" w:rsidRDefault="00A05504" w:rsidP="00100E73">
            <w:pPr>
              <w:pStyle w:val="a3"/>
              <w:ind w:left="0"/>
              <w:rPr>
                <w:rFonts w:ascii="Arial" w:hAnsi="Arial" w:cs="Arial"/>
                <w:sz w:val="20"/>
                <w:szCs w:val="20"/>
                <w:lang w:val="en-US"/>
              </w:rPr>
            </w:pPr>
          </w:p>
        </w:tc>
      </w:tr>
    </w:tbl>
    <w:p w14:paraId="54763A25" w14:textId="77777777" w:rsidR="00A05504" w:rsidRPr="00731910" w:rsidRDefault="00A05504" w:rsidP="00A05504">
      <w:pPr>
        <w:pStyle w:val="a3"/>
        <w:rPr>
          <w:rFonts w:ascii="Arial" w:hAnsi="Arial" w:cs="Arial"/>
          <w:sz w:val="20"/>
          <w:szCs w:val="20"/>
          <w:lang w:val="en-US"/>
        </w:rPr>
      </w:pPr>
    </w:p>
    <w:p w14:paraId="78B1AD05" w14:textId="7ACF9726" w:rsidR="00A925C7" w:rsidRPr="00731910" w:rsidRDefault="00A925C7" w:rsidP="001D4092">
      <w:pPr>
        <w:pStyle w:val="a3"/>
        <w:numPr>
          <w:ilvl w:val="0"/>
          <w:numId w:val="1"/>
        </w:numPr>
        <w:rPr>
          <w:rFonts w:ascii="Arial" w:hAnsi="Arial" w:cs="Arial"/>
          <w:b/>
          <w:bCs/>
          <w:sz w:val="20"/>
          <w:szCs w:val="20"/>
        </w:rPr>
      </w:pPr>
      <w:proofErr w:type="spellStart"/>
      <w:r w:rsidRPr="00731910">
        <w:rPr>
          <w:rFonts w:ascii="Arial" w:hAnsi="Arial" w:cs="Arial"/>
          <w:b/>
          <w:bCs/>
          <w:sz w:val="20"/>
          <w:szCs w:val="20"/>
        </w:rPr>
        <w:t>Instructor</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31910" w14:paraId="37E3055B" w14:textId="77777777" w:rsidTr="00731910">
        <w:trPr>
          <w:trHeight w:val="543"/>
        </w:trPr>
        <w:tc>
          <w:tcPr>
            <w:tcW w:w="9634" w:type="dxa"/>
          </w:tcPr>
          <w:p w14:paraId="5F3AE3BF" w14:textId="07D8881F" w:rsidR="00A05504" w:rsidRPr="00731910" w:rsidRDefault="00731910" w:rsidP="00100E73">
            <w:pPr>
              <w:pStyle w:val="a3"/>
              <w:ind w:left="0"/>
              <w:rPr>
                <w:rFonts w:ascii="Arial" w:hAnsi="Arial" w:cs="Arial"/>
                <w:sz w:val="20"/>
                <w:szCs w:val="20"/>
                <w:lang w:val="en-US"/>
              </w:rPr>
            </w:pPr>
            <w:r>
              <w:rPr>
                <w:rFonts w:ascii="Arial" w:hAnsi="Arial" w:cs="Arial"/>
                <w:sz w:val="20"/>
                <w:szCs w:val="20"/>
                <w:lang w:val="en-US"/>
              </w:rPr>
              <w:t xml:space="preserve">Prof. </w:t>
            </w:r>
            <w:r w:rsidR="00BA5227" w:rsidRPr="00731910">
              <w:rPr>
                <w:rFonts w:ascii="Arial" w:hAnsi="Arial" w:cs="Arial"/>
                <w:sz w:val="20"/>
                <w:szCs w:val="20"/>
                <w:lang w:val="en-US"/>
              </w:rPr>
              <w:t xml:space="preserve">Anton </w:t>
            </w:r>
            <w:proofErr w:type="spellStart"/>
            <w:r w:rsidR="00BA5227" w:rsidRPr="00731910">
              <w:rPr>
                <w:rFonts w:ascii="Arial" w:hAnsi="Arial" w:cs="Arial"/>
                <w:sz w:val="20"/>
                <w:szCs w:val="20"/>
                <w:lang w:val="en-US"/>
              </w:rPr>
              <w:t>Averyanov</w:t>
            </w:r>
            <w:proofErr w:type="spellEnd"/>
            <w:r w:rsidR="00BA5227" w:rsidRPr="00731910">
              <w:rPr>
                <w:rFonts w:ascii="Arial" w:hAnsi="Arial" w:cs="Arial"/>
                <w:sz w:val="20"/>
                <w:szCs w:val="20"/>
                <w:lang w:val="en-US"/>
              </w:rPr>
              <w:t xml:space="preserve">, e-mail: </w:t>
            </w:r>
            <w:hyperlink r:id="rId7" w:history="1">
              <w:r w:rsidR="00BA5227" w:rsidRPr="00731910">
                <w:rPr>
                  <w:rStyle w:val="a5"/>
                  <w:rFonts w:ascii="Arial" w:hAnsi="Arial" w:cs="Arial"/>
                  <w:sz w:val="20"/>
                  <w:szCs w:val="20"/>
                  <w:lang w:val="en-US"/>
                </w:rPr>
                <w:t>avaveryanov@sfedeu.ru</w:t>
              </w:r>
            </w:hyperlink>
            <w:r w:rsidR="00BA5227" w:rsidRPr="00731910">
              <w:rPr>
                <w:rFonts w:ascii="Arial" w:hAnsi="Arial" w:cs="Arial"/>
                <w:sz w:val="20"/>
                <w:szCs w:val="20"/>
                <w:lang w:val="en-US"/>
              </w:rPr>
              <w:t xml:space="preserve"> </w:t>
            </w:r>
          </w:p>
          <w:p w14:paraId="0EB10394" w14:textId="6F4422E5" w:rsidR="00BA5227" w:rsidRPr="00731910" w:rsidRDefault="00731910" w:rsidP="00100E73">
            <w:pPr>
              <w:pStyle w:val="a3"/>
              <w:ind w:left="0"/>
              <w:rPr>
                <w:rFonts w:ascii="Arial" w:hAnsi="Arial" w:cs="Arial"/>
                <w:sz w:val="20"/>
                <w:szCs w:val="20"/>
                <w:lang w:val="en-US"/>
              </w:rPr>
            </w:pPr>
            <w:r>
              <w:rPr>
                <w:rFonts w:ascii="Arial" w:hAnsi="Arial" w:cs="Arial"/>
                <w:sz w:val="20"/>
                <w:szCs w:val="20"/>
                <w:lang w:val="en-US"/>
              </w:rPr>
              <w:t xml:space="preserve">Prof. </w:t>
            </w:r>
            <w:r w:rsidR="00BA5227" w:rsidRPr="00731910">
              <w:rPr>
                <w:rFonts w:ascii="Arial" w:hAnsi="Arial" w:cs="Arial"/>
                <w:sz w:val="20"/>
                <w:szCs w:val="20"/>
                <w:lang w:val="en-US"/>
              </w:rPr>
              <w:t xml:space="preserve">Ilya Nikolaev, e-mail: </w:t>
            </w:r>
            <w:hyperlink r:id="rId8" w:history="1">
              <w:r w:rsidR="00BA5227" w:rsidRPr="00731910">
                <w:rPr>
                  <w:rStyle w:val="a5"/>
                  <w:rFonts w:ascii="Arial" w:hAnsi="Arial" w:cs="Arial"/>
                  <w:sz w:val="20"/>
                  <w:szCs w:val="20"/>
                  <w:lang w:val="en-US"/>
                </w:rPr>
                <w:t>ivnikilaev@sfedu.ru</w:t>
              </w:r>
            </w:hyperlink>
            <w:r w:rsidR="00BA5227" w:rsidRPr="00731910">
              <w:rPr>
                <w:rFonts w:ascii="Arial" w:hAnsi="Arial" w:cs="Arial"/>
                <w:sz w:val="20"/>
                <w:szCs w:val="20"/>
                <w:lang w:val="en-US"/>
              </w:rPr>
              <w:t xml:space="preserve">  </w:t>
            </w:r>
          </w:p>
        </w:tc>
      </w:tr>
    </w:tbl>
    <w:p w14:paraId="08E6860B" w14:textId="77777777" w:rsidR="00A05504" w:rsidRPr="00731910" w:rsidRDefault="00A05504" w:rsidP="00A05504">
      <w:pPr>
        <w:pStyle w:val="a3"/>
        <w:rPr>
          <w:rFonts w:ascii="Arial" w:hAnsi="Arial" w:cs="Arial"/>
          <w:sz w:val="20"/>
          <w:szCs w:val="20"/>
          <w:lang w:val="en-US"/>
        </w:rPr>
      </w:pPr>
    </w:p>
    <w:p w14:paraId="628D6DE8" w14:textId="5F9FF9D2" w:rsidR="00A925C7" w:rsidRPr="00731910" w:rsidRDefault="00A925C7" w:rsidP="001D4092">
      <w:pPr>
        <w:pStyle w:val="a3"/>
        <w:numPr>
          <w:ilvl w:val="0"/>
          <w:numId w:val="1"/>
        </w:numPr>
        <w:rPr>
          <w:rFonts w:ascii="Arial" w:hAnsi="Arial" w:cs="Arial"/>
          <w:b/>
          <w:bCs/>
          <w:sz w:val="20"/>
          <w:szCs w:val="20"/>
        </w:rPr>
      </w:pPr>
      <w:r w:rsidRPr="00731910">
        <w:rPr>
          <w:rFonts w:ascii="Arial" w:hAnsi="Arial" w:cs="Arial"/>
          <w:b/>
          <w:bCs/>
          <w:sz w:val="20"/>
          <w:szCs w:val="20"/>
        </w:rPr>
        <w:t xml:space="preserve">Language of </w:t>
      </w:r>
      <w:proofErr w:type="spellStart"/>
      <w:r w:rsidRPr="00731910">
        <w:rPr>
          <w:rFonts w:ascii="Arial" w:hAnsi="Arial" w:cs="Arial"/>
          <w:b/>
          <w:bCs/>
          <w:sz w:val="20"/>
          <w:szCs w:val="20"/>
        </w:rPr>
        <w:t>Instruction</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31910" w14:paraId="6738EDCE" w14:textId="77777777" w:rsidTr="00731910">
        <w:trPr>
          <w:trHeight w:val="320"/>
        </w:trPr>
        <w:tc>
          <w:tcPr>
            <w:tcW w:w="9634" w:type="dxa"/>
          </w:tcPr>
          <w:p w14:paraId="7AC26C1D" w14:textId="77777777" w:rsidR="000D3793" w:rsidRPr="00731910" w:rsidRDefault="000D3793" w:rsidP="000D3793">
            <w:pPr>
              <w:rPr>
                <w:rFonts w:ascii="Arial" w:hAnsi="Arial" w:cs="Arial"/>
                <w:sz w:val="20"/>
                <w:szCs w:val="20"/>
                <w:lang w:val="en-US"/>
              </w:rPr>
            </w:pPr>
            <w:r w:rsidRPr="00731910">
              <w:rPr>
                <w:rFonts w:ascii="Arial" w:hAnsi="Arial" w:cs="Arial"/>
                <w:sz w:val="20"/>
                <w:szCs w:val="20"/>
                <w:lang w:val="en-US"/>
              </w:rPr>
              <w:t>English</w:t>
            </w:r>
          </w:p>
          <w:p w14:paraId="0650DCF2" w14:textId="77777777" w:rsidR="00A05504" w:rsidRPr="00731910" w:rsidRDefault="00A05504" w:rsidP="00100E73">
            <w:pPr>
              <w:pStyle w:val="a3"/>
              <w:ind w:left="0"/>
              <w:rPr>
                <w:rFonts w:ascii="Arial" w:hAnsi="Arial" w:cs="Arial"/>
                <w:sz w:val="20"/>
                <w:szCs w:val="20"/>
              </w:rPr>
            </w:pPr>
          </w:p>
        </w:tc>
      </w:tr>
    </w:tbl>
    <w:p w14:paraId="173FD165" w14:textId="77777777" w:rsidR="00A05504" w:rsidRPr="00731910" w:rsidRDefault="00A05504" w:rsidP="00A05504">
      <w:pPr>
        <w:pStyle w:val="a3"/>
        <w:rPr>
          <w:rFonts w:ascii="Arial" w:hAnsi="Arial" w:cs="Arial"/>
          <w:sz w:val="20"/>
          <w:szCs w:val="20"/>
        </w:rPr>
      </w:pPr>
    </w:p>
    <w:p w14:paraId="1D24A37A" w14:textId="5D24B8E2" w:rsidR="00A925C7" w:rsidRPr="00731910" w:rsidRDefault="00A925C7" w:rsidP="001D4092">
      <w:pPr>
        <w:pStyle w:val="a3"/>
        <w:numPr>
          <w:ilvl w:val="0"/>
          <w:numId w:val="1"/>
        </w:numPr>
        <w:rPr>
          <w:rFonts w:ascii="Arial" w:hAnsi="Arial" w:cs="Arial"/>
          <w:b/>
          <w:bCs/>
          <w:sz w:val="20"/>
          <w:szCs w:val="20"/>
        </w:rPr>
      </w:pPr>
      <w:proofErr w:type="spellStart"/>
      <w:r w:rsidRPr="00731910">
        <w:rPr>
          <w:rFonts w:ascii="Arial" w:hAnsi="Arial" w:cs="Arial"/>
          <w:b/>
          <w:bCs/>
          <w:sz w:val="20"/>
          <w:szCs w:val="20"/>
        </w:rPr>
        <w:t>Course</w:t>
      </w:r>
      <w:proofErr w:type="spellEnd"/>
      <w:r w:rsidRPr="00731910">
        <w:rPr>
          <w:rFonts w:ascii="Arial" w:hAnsi="Arial" w:cs="Arial"/>
          <w:b/>
          <w:bCs/>
          <w:sz w:val="20"/>
          <w:szCs w:val="20"/>
        </w:rPr>
        <w:t xml:space="preserve"> </w:t>
      </w:r>
      <w:proofErr w:type="spellStart"/>
      <w:r w:rsidRPr="00731910">
        <w:rPr>
          <w:rFonts w:ascii="Arial" w:hAnsi="Arial" w:cs="Arial"/>
          <w:b/>
          <w:bCs/>
          <w:sz w:val="20"/>
          <w:szCs w:val="20"/>
        </w:rPr>
        <w:t>Description</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31910" w14:paraId="6D5AFE03" w14:textId="77777777" w:rsidTr="00100E73">
        <w:trPr>
          <w:trHeight w:val="777"/>
        </w:trPr>
        <w:tc>
          <w:tcPr>
            <w:tcW w:w="9634" w:type="dxa"/>
          </w:tcPr>
          <w:p w14:paraId="305FFCE7" w14:textId="2DA07924" w:rsidR="006B5C54" w:rsidRPr="00731910" w:rsidRDefault="006B5C54" w:rsidP="006B5C54">
            <w:pPr>
              <w:pStyle w:val="a3"/>
              <w:ind w:left="0"/>
              <w:rPr>
                <w:rFonts w:ascii="Arial" w:hAnsi="Arial" w:cs="Arial"/>
                <w:sz w:val="20"/>
                <w:szCs w:val="20"/>
                <w:lang w:val="en-US"/>
              </w:rPr>
            </w:pPr>
            <w:r w:rsidRPr="00731910">
              <w:rPr>
                <w:rFonts w:ascii="Arial" w:hAnsi="Arial" w:cs="Arial"/>
                <w:sz w:val="20"/>
                <w:szCs w:val="20"/>
                <w:lang w:val="en-US"/>
              </w:rPr>
              <w:t xml:space="preserve">The </w:t>
            </w:r>
            <w:r w:rsidR="00731910">
              <w:rPr>
                <w:rFonts w:ascii="Arial" w:hAnsi="Arial" w:cs="Arial"/>
                <w:sz w:val="20"/>
                <w:szCs w:val="20"/>
                <w:lang w:val="en-US"/>
              </w:rPr>
              <w:t xml:space="preserve">elective </w:t>
            </w:r>
            <w:r w:rsidRPr="00731910">
              <w:rPr>
                <w:rFonts w:ascii="Arial" w:hAnsi="Arial" w:cs="Arial"/>
                <w:sz w:val="20"/>
                <w:szCs w:val="20"/>
                <w:lang w:val="en-US"/>
              </w:rPr>
              <w:t xml:space="preserve">discipline is intended for undergraduates of </w:t>
            </w:r>
            <w:r w:rsidR="00731910">
              <w:rPr>
                <w:rFonts w:ascii="Arial" w:hAnsi="Arial" w:cs="Arial"/>
                <w:sz w:val="20"/>
                <w:szCs w:val="20"/>
                <w:lang w:val="en-US"/>
              </w:rPr>
              <w:t xml:space="preserve">their </w:t>
            </w:r>
            <w:r w:rsidRPr="00731910">
              <w:rPr>
                <w:rFonts w:ascii="Arial" w:hAnsi="Arial" w:cs="Arial"/>
                <w:sz w:val="20"/>
                <w:szCs w:val="20"/>
                <w:lang w:val="en-US"/>
              </w:rPr>
              <w:t>1</w:t>
            </w:r>
            <w:r w:rsidR="00731910">
              <w:rPr>
                <w:rFonts w:ascii="Arial" w:hAnsi="Arial" w:cs="Arial"/>
                <w:sz w:val="20"/>
                <w:szCs w:val="20"/>
                <w:lang w:val="en-US"/>
              </w:rPr>
              <w:t>st</w:t>
            </w:r>
            <w:r w:rsidRPr="00731910">
              <w:rPr>
                <w:rFonts w:ascii="Arial" w:hAnsi="Arial" w:cs="Arial"/>
                <w:sz w:val="20"/>
                <w:szCs w:val="20"/>
                <w:lang w:val="en-US"/>
              </w:rPr>
              <w:t xml:space="preserve"> year (2 semester) of study program "Socialist and Post-Socialist Studies". "Formal and informal political organizations in the USSR and post-socialist</w:t>
            </w:r>
            <w:r w:rsidR="005C2E6B" w:rsidRPr="00731910">
              <w:rPr>
                <w:rFonts w:ascii="Arial" w:hAnsi="Arial" w:cs="Arial"/>
                <w:sz w:val="20"/>
                <w:szCs w:val="20"/>
                <w:lang w:val="en-US"/>
              </w:rPr>
              <w:t xml:space="preserve"> Countries</w:t>
            </w:r>
            <w:r w:rsidRPr="00731910">
              <w:rPr>
                <w:rFonts w:ascii="Arial" w:hAnsi="Arial" w:cs="Arial"/>
                <w:sz w:val="20"/>
                <w:szCs w:val="20"/>
                <w:lang w:val="en-US"/>
              </w:rPr>
              <w:t xml:space="preserve">" aims to familiarize students with the ideology, </w:t>
            </w:r>
            <w:proofErr w:type="gramStart"/>
            <w:r w:rsidRPr="00731910">
              <w:rPr>
                <w:rFonts w:ascii="Arial" w:hAnsi="Arial" w:cs="Arial"/>
                <w:sz w:val="20"/>
                <w:szCs w:val="20"/>
                <w:lang w:val="en-US"/>
              </w:rPr>
              <w:t>programs</w:t>
            </w:r>
            <w:proofErr w:type="gramEnd"/>
            <w:r w:rsidRPr="00731910">
              <w:rPr>
                <w:rFonts w:ascii="Arial" w:hAnsi="Arial" w:cs="Arial"/>
                <w:sz w:val="20"/>
                <w:szCs w:val="20"/>
                <w:lang w:val="en-US"/>
              </w:rPr>
              <w:t xml:space="preserve"> and history of social and political organizations in the territory of the former USSR and the socialist countries of Central and Eastern Europe. As part of the study of the discipline, the following basic educational technologies are used: problem</w:t>
            </w:r>
            <w:r w:rsidR="00731910">
              <w:rPr>
                <w:rFonts w:ascii="Arial" w:hAnsi="Arial" w:cs="Arial"/>
                <w:sz w:val="20"/>
                <w:szCs w:val="20"/>
                <w:lang w:val="en-US"/>
              </w:rPr>
              <w:t>-oriented</w:t>
            </w:r>
            <w:r w:rsidRPr="00731910">
              <w:rPr>
                <w:rFonts w:ascii="Arial" w:hAnsi="Arial" w:cs="Arial"/>
                <w:sz w:val="20"/>
                <w:szCs w:val="20"/>
                <w:lang w:val="en-US"/>
              </w:rPr>
              <w:t xml:space="preserve"> lectures, practical classes, independent work of students. </w:t>
            </w:r>
          </w:p>
          <w:p w14:paraId="73B4778B" w14:textId="02123BC0" w:rsidR="00A05504" w:rsidRPr="00731910" w:rsidRDefault="00A05504" w:rsidP="00100E73">
            <w:pPr>
              <w:pStyle w:val="a3"/>
              <w:ind w:left="0"/>
              <w:rPr>
                <w:rFonts w:ascii="Arial" w:hAnsi="Arial" w:cs="Arial"/>
                <w:sz w:val="20"/>
                <w:szCs w:val="20"/>
                <w:lang w:val="en-US"/>
              </w:rPr>
            </w:pPr>
          </w:p>
        </w:tc>
      </w:tr>
    </w:tbl>
    <w:p w14:paraId="64D5A8AA" w14:textId="7D20860B" w:rsidR="00A05504" w:rsidRPr="00731910" w:rsidRDefault="00A05504" w:rsidP="00A05504">
      <w:pPr>
        <w:pStyle w:val="a3"/>
        <w:rPr>
          <w:rFonts w:ascii="Arial" w:hAnsi="Arial" w:cs="Arial"/>
          <w:sz w:val="20"/>
          <w:szCs w:val="20"/>
          <w:lang w:val="en-US"/>
        </w:rPr>
      </w:pPr>
    </w:p>
    <w:p w14:paraId="53F55C46" w14:textId="14010372" w:rsidR="00A925C7" w:rsidRPr="00731910" w:rsidRDefault="00A925C7" w:rsidP="001D4092">
      <w:pPr>
        <w:pStyle w:val="a3"/>
        <w:numPr>
          <w:ilvl w:val="0"/>
          <w:numId w:val="1"/>
        </w:numPr>
        <w:rPr>
          <w:rFonts w:ascii="Arial" w:hAnsi="Arial" w:cs="Arial"/>
          <w:b/>
          <w:bCs/>
          <w:sz w:val="20"/>
          <w:szCs w:val="20"/>
        </w:rPr>
      </w:pPr>
      <w:proofErr w:type="spellStart"/>
      <w:r w:rsidRPr="00731910">
        <w:rPr>
          <w:rFonts w:ascii="Arial" w:hAnsi="Arial" w:cs="Arial"/>
          <w:b/>
          <w:bCs/>
          <w:sz w:val="20"/>
          <w:szCs w:val="20"/>
        </w:rPr>
        <w:t>Course</w:t>
      </w:r>
      <w:proofErr w:type="spellEnd"/>
      <w:r w:rsidRPr="00731910">
        <w:rPr>
          <w:rFonts w:ascii="Arial" w:hAnsi="Arial" w:cs="Arial"/>
          <w:b/>
          <w:bCs/>
          <w:sz w:val="20"/>
          <w:szCs w:val="20"/>
        </w:rPr>
        <w:t xml:space="preserve"> </w:t>
      </w:r>
      <w:proofErr w:type="spellStart"/>
      <w:r w:rsidRPr="00731910">
        <w:rPr>
          <w:rFonts w:ascii="Arial" w:hAnsi="Arial" w:cs="Arial"/>
          <w:b/>
          <w:bCs/>
          <w:sz w:val="20"/>
          <w:szCs w:val="20"/>
        </w:rPr>
        <w:t>Aims</w:t>
      </w:r>
      <w:proofErr w:type="spellEnd"/>
      <w:r w:rsidRPr="00731910">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731910" w14:paraId="75494349" w14:textId="77777777" w:rsidTr="00100E73">
        <w:trPr>
          <w:trHeight w:val="777"/>
        </w:trPr>
        <w:tc>
          <w:tcPr>
            <w:tcW w:w="9634" w:type="dxa"/>
          </w:tcPr>
          <w:p w14:paraId="3B2866D4" w14:textId="77777777" w:rsidR="0063230C" w:rsidRPr="00731910" w:rsidRDefault="0063230C" w:rsidP="0063230C">
            <w:pPr>
              <w:rPr>
                <w:rFonts w:ascii="Arial" w:hAnsi="Arial" w:cs="Arial"/>
                <w:sz w:val="20"/>
                <w:szCs w:val="20"/>
                <w:lang w:val="en-US"/>
              </w:rPr>
            </w:pPr>
            <w:r w:rsidRPr="00731910">
              <w:rPr>
                <w:rFonts w:ascii="Arial" w:hAnsi="Arial" w:cs="Arial"/>
                <w:sz w:val="20"/>
                <w:szCs w:val="20"/>
                <w:lang w:val="en-US"/>
              </w:rPr>
              <w:t xml:space="preserve">- to form students' understanding of the main social and political organizations in the </w:t>
            </w:r>
            <w:proofErr w:type="gramStart"/>
            <w:r w:rsidRPr="00731910">
              <w:rPr>
                <w:rFonts w:ascii="Arial" w:hAnsi="Arial" w:cs="Arial"/>
                <w:sz w:val="20"/>
                <w:szCs w:val="20"/>
                <w:lang w:val="en-US"/>
              </w:rPr>
              <w:t>USSR;</w:t>
            </w:r>
            <w:proofErr w:type="gramEnd"/>
          </w:p>
          <w:p w14:paraId="17FDAAC2" w14:textId="77777777" w:rsidR="0063230C" w:rsidRPr="00731910" w:rsidRDefault="0063230C" w:rsidP="0063230C">
            <w:pPr>
              <w:rPr>
                <w:rFonts w:ascii="Arial" w:hAnsi="Arial" w:cs="Arial"/>
                <w:sz w:val="20"/>
                <w:szCs w:val="20"/>
                <w:lang w:val="en-US"/>
              </w:rPr>
            </w:pPr>
            <w:r w:rsidRPr="00731910">
              <w:rPr>
                <w:rFonts w:ascii="Arial" w:hAnsi="Arial" w:cs="Arial"/>
                <w:sz w:val="20"/>
                <w:szCs w:val="20"/>
                <w:lang w:val="en-US"/>
              </w:rPr>
              <w:t xml:space="preserve">- to promote the development of students' understanding of various aspects of the history of public organizations in the socialist countries of Eastern Europe in the second half of the twentieth </w:t>
            </w:r>
            <w:proofErr w:type="gramStart"/>
            <w:r w:rsidRPr="00731910">
              <w:rPr>
                <w:rFonts w:ascii="Arial" w:hAnsi="Arial" w:cs="Arial"/>
                <w:sz w:val="20"/>
                <w:szCs w:val="20"/>
                <w:lang w:val="en-US"/>
              </w:rPr>
              <w:t>century;</w:t>
            </w:r>
            <w:proofErr w:type="gramEnd"/>
          </w:p>
          <w:p w14:paraId="1381CAAE" w14:textId="6FE1492E" w:rsidR="00A05504" w:rsidRPr="00731910" w:rsidRDefault="0063230C" w:rsidP="0063230C">
            <w:pPr>
              <w:rPr>
                <w:rFonts w:ascii="Arial" w:hAnsi="Arial" w:cs="Arial"/>
                <w:sz w:val="20"/>
                <w:szCs w:val="20"/>
                <w:lang w:val="en-US"/>
              </w:rPr>
            </w:pPr>
            <w:r w:rsidRPr="00731910">
              <w:rPr>
                <w:rFonts w:ascii="Arial" w:hAnsi="Arial" w:cs="Arial"/>
                <w:sz w:val="20"/>
                <w:szCs w:val="20"/>
                <w:lang w:val="en-US"/>
              </w:rPr>
              <w:lastRenderedPageBreak/>
              <w:t>- to form students' understanding of the history, ideology of social and political structures in the countries of Central and Eastern Europe and in the post-Soviet space.</w:t>
            </w:r>
          </w:p>
        </w:tc>
      </w:tr>
    </w:tbl>
    <w:p w14:paraId="05EDEBF5" w14:textId="77777777" w:rsidR="00A05504" w:rsidRPr="00731910" w:rsidRDefault="00A05504" w:rsidP="00A05504">
      <w:pPr>
        <w:pStyle w:val="a3"/>
        <w:rPr>
          <w:rFonts w:ascii="Arial" w:hAnsi="Arial" w:cs="Arial"/>
          <w:sz w:val="20"/>
          <w:szCs w:val="20"/>
          <w:lang w:val="en-US"/>
        </w:rPr>
      </w:pPr>
    </w:p>
    <w:p w14:paraId="6FD6094A" w14:textId="393E45E9"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731910" w14:paraId="5AFC2944" w14:textId="77777777" w:rsidTr="00102ACA">
        <w:trPr>
          <w:trHeight w:val="563"/>
        </w:trPr>
        <w:tc>
          <w:tcPr>
            <w:tcW w:w="9634" w:type="dxa"/>
          </w:tcPr>
          <w:p w14:paraId="789A8563" w14:textId="47400EA5" w:rsidR="00A05504" w:rsidRPr="00731910" w:rsidRDefault="00102ACA" w:rsidP="00100E73">
            <w:pPr>
              <w:pStyle w:val="a3"/>
              <w:ind w:left="0"/>
              <w:rPr>
                <w:rFonts w:ascii="Arial" w:hAnsi="Arial" w:cs="Arial"/>
                <w:sz w:val="20"/>
                <w:szCs w:val="20"/>
              </w:rPr>
            </w:pPr>
            <w:r w:rsidRPr="00731910">
              <w:rPr>
                <w:rFonts w:ascii="Arial" w:hAnsi="Arial" w:cs="Arial"/>
                <w:sz w:val="20"/>
                <w:szCs w:val="20"/>
              </w:rPr>
              <w:t>-</w:t>
            </w:r>
          </w:p>
        </w:tc>
      </w:tr>
    </w:tbl>
    <w:p w14:paraId="250CD6D6" w14:textId="77777777" w:rsidR="00A05504" w:rsidRPr="00731910" w:rsidRDefault="00A05504" w:rsidP="00A05504">
      <w:pPr>
        <w:pStyle w:val="a3"/>
        <w:rPr>
          <w:rFonts w:ascii="Arial" w:hAnsi="Arial" w:cs="Arial"/>
          <w:sz w:val="20"/>
          <w:szCs w:val="20"/>
          <w:lang w:val="en-US"/>
        </w:rPr>
      </w:pPr>
    </w:p>
    <w:p w14:paraId="191AA323" w14:textId="525F8E36"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731910" w14:paraId="363A079C" w14:textId="77777777" w:rsidTr="00102ACA">
        <w:trPr>
          <w:trHeight w:val="455"/>
        </w:trPr>
        <w:tc>
          <w:tcPr>
            <w:tcW w:w="9634" w:type="dxa"/>
          </w:tcPr>
          <w:p w14:paraId="409DA038" w14:textId="77777777" w:rsidR="00D935FF" w:rsidRPr="00731910" w:rsidRDefault="00D935FF" w:rsidP="00D935FF">
            <w:pPr>
              <w:pStyle w:val="a3"/>
              <w:ind w:left="0"/>
              <w:rPr>
                <w:rFonts w:ascii="Arial" w:hAnsi="Arial" w:cs="Arial"/>
                <w:b/>
                <w:bCs/>
                <w:sz w:val="20"/>
                <w:szCs w:val="20"/>
                <w:lang w:val="en-US"/>
              </w:rPr>
            </w:pPr>
            <w:r w:rsidRPr="00731910">
              <w:rPr>
                <w:rFonts w:ascii="Arial" w:hAnsi="Arial" w:cs="Arial"/>
                <w:b/>
                <w:bCs/>
                <w:sz w:val="20"/>
                <w:szCs w:val="20"/>
                <w:lang w:val="en-US"/>
              </w:rPr>
              <w:t xml:space="preserve">Module 1. Political organizations in the USSR. </w:t>
            </w:r>
          </w:p>
          <w:p w14:paraId="7A185B8F"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1. Subject, goals, objectives of the course. </w:t>
            </w:r>
          </w:p>
          <w:p w14:paraId="137D6747"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2. The CPSU is the core of the political system of the USSR. </w:t>
            </w:r>
          </w:p>
          <w:p w14:paraId="4CEFB8AD"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3. Komsomol - the reserve of the CPSU. </w:t>
            </w:r>
          </w:p>
          <w:p w14:paraId="238CB34B"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Topic 4. Military-patriotic organizations in the USSR.</w:t>
            </w:r>
          </w:p>
          <w:p w14:paraId="67C7140B"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Topic 5. Dissident and human rights movement in the USSR: organizational structures.</w:t>
            </w:r>
          </w:p>
          <w:p w14:paraId="5B58D4FE"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Topic 6. Informal political organizations in the USSR during perestroika 2</w:t>
            </w:r>
          </w:p>
          <w:p w14:paraId="79EFFCCC"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Popular fronts. </w:t>
            </w:r>
          </w:p>
          <w:p w14:paraId="06C206DD"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7. Political parties and organizations in Eastern Europe. </w:t>
            </w:r>
          </w:p>
          <w:p w14:paraId="5C8DFD5D" w14:textId="77777777" w:rsidR="00D935FF" w:rsidRPr="00731910" w:rsidRDefault="00D935FF" w:rsidP="00D935FF">
            <w:pPr>
              <w:pStyle w:val="a3"/>
              <w:ind w:left="0"/>
              <w:rPr>
                <w:rFonts w:ascii="Arial" w:hAnsi="Arial" w:cs="Arial"/>
                <w:b/>
                <w:bCs/>
                <w:sz w:val="20"/>
                <w:szCs w:val="20"/>
                <w:lang w:val="en-US"/>
              </w:rPr>
            </w:pPr>
            <w:r w:rsidRPr="00731910">
              <w:rPr>
                <w:rFonts w:ascii="Arial" w:hAnsi="Arial" w:cs="Arial"/>
                <w:b/>
                <w:bCs/>
                <w:sz w:val="20"/>
                <w:szCs w:val="20"/>
                <w:lang w:val="en-US"/>
              </w:rPr>
              <w:t>Module 2. Political organizations in post-socialist countries in the 1990-2010s.</w:t>
            </w:r>
          </w:p>
          <w:p w14:paraId="4E3DB1A6"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1. Political parties and public organizations in the Russian Federation. </w:t>
            </w:r>
          </w:p>
          <w:p w14:paraId="2FD5177B"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2. Political parties and public organizations in the Baltic States. </w:t>
            </w:r>
          </w:p>
          <w:p w14:paraId="1CF28BEC"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3. Political parties and public organizations in Ukraine, </w:t>
            </w:r>
            <w:proofErr w:type="gramStart"/>
            <w:r w:rsidRPr="00731910">
              <w:rPr>
                <w:rFonts w:ascii="Arial" w:hAnsi="Arial" w:cs="Arial"/>
                <w:sz w:val="20"/>
                <w:szCs w:val="20"/>
                <w:lang w:val="en-US"/>
              </w:rPr>
              <w:t>Belarus</w:t>
            </w:r>
            <w:proofErr w:type="gramEnd"/>
            <w:r w:rsidRPr="00731910">
              <w:rPr>
                <w:rFonts w:ascii="Arial" w:hAnsi="Arial" w:cs="Arial"/>
                <w:sz w:val="20"/>
                <w:szCs w:val="20"/>
                <w:lang w:val="en-US"/>
              </w:rPr>
              <w:t xml:space="preserve"> and Moldova. </w:t>
            </w:r>
          </w:p>
          <w:p w14:paraId="1FEEA617"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4. Political parties and public organizations in Georgia, </w:t>
            </w:r>
            <w:proofErr w:type="gramStart"/>
            <w:r w:rsidRPr="00731910">
              <w:rPr>
                <w:rFonts w:ascii="Arial" w:hAnsi="Arial" w:cs="Arial"/>
                <w:sz w:val="20"/>
                <w:szCs w:val="20"/>
                <w:lang w:val="en-US"/>
              </w:rPr>
              <w:t>Armenia</w:t>
            </w:r>
            <w:proofErr w:type="gramEnd"/>
            <w:r w:rsidRPr="00731910">
              <w:rPr>
                <w:rFonts w:ascii="Arial" w:hAnsi="Arial" w:cs="Arial"/>
                <w:sz w:val="20"/>
                <w:szCs w:val="20"/>
                <w:lang w:val="en-US"/>
              </w:rPr>
              <w:t xml:space="preserve"> and Azerbaijan. </w:t>
            </w:r>
          </w:p>
          <w:p w14:paraId="21669387"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5. Political parties and public organizations in Kazakhstan and the states of Central Asia. </w:t>
            </w:r>
          </w:p>
          <w:p w14:paraId="77366D58"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6. Political parties and organizations in Poland, Czech Republic, </w:t>
            </w:r>
            <w:proofErr w:type="gramStart"/>
            <w:r w:rsidRPr="00731910">
              <w:rPr>
                <w:rFonts w:ascii="Arial" w:hAnsi="Arial" w:cs="Arial"/>
                <w:sz w:val="20"/>
                <w:szCs w:val="20"/>
                <w:lang w:val="en-US"/>
              </w:rPr>
              <w:t>Slovakia</w:t>
            </w:r>
            <w:proofErr w:type="gramEnd"/>
            <w:r w:rsidRPr="00731910">
              <w:rPr>
                <w:rFonts w:ascii="Arial" w:hAnsi="Arial" w:cs="Arial"/>
                <w:sz w:val="20"/>
                <w:szCs w:val="20"/>
                <w:lang w:val="en-US"/>
              </w:rPr>
              <w:t xml:space="preserve"> and Hungary. </w:t>
            </w:r>
          </w:p>
          <w:p w14:paraId="7E0DB7DC"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7. Political parties in the states of the former Yugoslavia: Serbia, Croatia, Bosnia and Herzegovina, Slovenia, Macedonia, Montenegro. </w:t>
            </w:r>
          </w:p>
          <w:p w14:paraId="6F536C87"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Topic 8. Political parties and organizations in Bulgaria, Romania, Albania. </w:t>
            </w:r>
          </w:p>
          <w:p w14:paraId="36D576C4" w14:textId="2DA51326" w:rsidR="00A05504" w:rsidRPr="00731910" w:rsidRDefault="00A05504" w:rsidP="00100E73">
            <w:pPr>
              <w:pStyle w:val="a3"/>
              <w:ind w:left="0"/>
              <w:rPr>
                <w:rFonts w:ascii="Arial" w:hAnsi="Arial" w:cs="Arial"/>
                <w:sz w:val="20"/>
                <w:szCs w:val="20"/>
                <w:lang w:val="en-US"/>
              </w:rPr>
            </w:pPr>
          </w:p>
        </w:tc>
      </w:tr>
    </w:tbl>
    <w:p w14:paraId="36DF7D44" w14:textId="77777777" w:rsidR="00A05504" w:rsidRPr="00731910" w:rsidRDefault="00A05504" w:rsidP="00A05504">
      <w:pPr>
        <w:pStyle w:val="a3"/>
        <w:rPr>
          <w:rFonts w:ascii="Arial" w:hAnsi="Arial" w:cs="Arial"/>
          <w:sz w:val="20"/>
          <w:szCs w:val="20"/>
          <w:lang w:val="en-US"/>
        </w:rPr>
      </w:pPr>
    </w:p>
    <w:p w14:paraId="235C7F18" w14:textId="5F6DCE2B"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731910" w14:paraId="0FF45479" w14:textId="77777777" w:rsidTr="00102ACA">
        <w:trPr>
          <w:trHeight w:val="503"/>
        </w:trPr>
        <w:tc>
          <w:tcPr>
            <w:tcW w:w="9634" w:type="dxa"/>
          </w:tcPr>
          <w:p w14:paraId="21A0E037"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Knowledge:</w:t>
            </w:r>
          </w:p>
          <w:p w14:paraId="33C665D6"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 knowledge of factual material, including the chronology of the main historical events and their </w:t>
            </w:r>
            <w:proofErr w:type="gramStart"/>
            <w:r w:rsidRPr="00731910">
              <w:rPr>
                <w:rFonts w:ascii="Arial" w:hAnsi="Arial" w:cs="Arial"/>
                <w:sz w:val="20"/>
                <w:szCs w:val="20"/>
                <w:lang w:val="en-US"/>
              </w:rPr>
              <w:t>content;</w:t>
            </w:r>
            <w:proofErr w:type="gramEnd"/>
          </w:p>
          <w:p w14:paraId="5D3DA3FF"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 to understand the driving forces and laws of the historical process, the place of the individual in the historical process, the political organization of </w:t>
            </w:r>
            <w:proofErr w:type="gramStart"/>
            <w:r w:rsidRPr="00731910">
              <w:rPr>
                <w:rFonts w:ascii="Arial" w:hAnsi="Arial" w:cs="Arial"/>
                <w:sz w:val="20"/>
                <w:szCs w:val="20"/>
                <w:lang w:val="en-US"/>
              </w:rPr>
              <w:t>society;</w:t>
            </w:r>
            <w:proofErr w:type="gramEnd"/>
          </w:p>
          <w:p w14:paraId="20C96500"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knowledge in the field of general and national history.</w:t>
            </w:r>
          </w:p>
          <w:p w14:paraId="69347209"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Skills:</w:t>
            </w:r>
          </w:p>
          <w:p w14:paraId="1C07B696"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 the ability to understand, critically analyze and present historical </w:t>
            </w:r>
            <w:proofErr w:type="gramStart"/>
            <w:r w:rsidRPr="00731910">
              <w:rPr>
                <w:rFonts w:ascii="Arial" w:hAnsi="Arial" w:cs="Arial"/>
                <w:sz w:val="20"/>
                <w:szCs w:val="20"/>
                <w:lang w:val="en-US"/>
              </w:rPr>
              <w:t>information;</w:t>
            </w:r>
            <w:proofErr w:type="gramEnd"/>
          </w:p>
          <w:p w14:paraId="6EF460DF"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 the ability to logically correctly, reasonably build oral </w:t>
            </w:r>
            <w:proofErr w:type="gramStart"/>
            <w:r w:rsidRPr="00731910">
              <w:rPr>
                <w:rFonts w:ascii="Arial" w:hAnsi="Arial" w:cs="Arial"/>
                <w:sz w:val="20"/>
                <w:szCs w:val="20"/>
                <w:lang w:val="en-US"/>
              </w:rPr>
              <w:t>speech;</w:t>
            </w:r>
            <w:proofErr w:type="gramEnd"/>
          </w:p>
          <w:p w14:paraId="303536AF"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xml:space="preserve">- the ability to interact </w:t>
            </w:r>
            <w:proofErr w:type="gramStart"/>
            <w:r w:rsidRPr="00731910">
              <w:rPr>
                <w:rFonts w:ascii="Arial" w:hAnsi="Arial" w:cs="Arial"/>
                <w:sz w:val="20"/>
                <w:szCs w:val="20"/>
                <w:lang w:val="en-US"/>
              </w:rPr>
              <w:t>on the basis of</w:t>
            </w:r>
            <w:proofErr w:type="gramEnd"/>
            <w:r w:rsidRPr="00731910">
              <w:rPr>
                <w:rFonts w:ascii="Arial" w:hAnsi="Arial" w:cs="Arial"/>
                <w:sz w:val="20"/>
                <w:szCs w:val="20"/>
                <w:lang w:val="en-US"/>
              </w:rPr>
              <w:t xml:space="preserve"> moral and legal norms accepted in society, to be tolerant towards another culture.</w:t>
            </w:r>
          </w:p>
          <w:p w14:paraId="31E2BFE3" w14:textId="77777777" w:rsidR="00D935FF" w:rsidRPr="00731910" w:rsidRDefault="00D935FF" w:rsidP="00D935FF">
            <w:pPr>
              <w:pStyle w:val="a3"/>
              <w:ind w:left="0"/>
              <w:rPr>
                <w:rFonts w:ascii="Arial" w:hAnsi="Arial" w:cs="Arial"/>
                <w:sz w:val="20"/>
                <w:szCs w:val="20"/>
                <w:lang w:val="en-US"/>
              </w:rPr>
            </w:pPr>
            <w:r w:rsidRPr="00731910">
              <w:rPr>
                <w:rFonts w:ascii="Arial" w:hAnsi="Arial" w:cs="Arial"/>
                <w:sz w:val="20"/>
                <w:szCs w:val="20"/>
                <w:lang w:val="en-US"/>
              </w:rPr>
              <w:t>- possess the skills of self-development, improving their qualifications and skills,</w:t>
            </w:r>
          </w:p>
          <w:p w14:paraId="2159E008" w14:textId="4EA80132" w:rsidR="00A05504" w:rsidRPr="00731910" w:rsidRDefault="00D935FF" w:rsidP="00100E73">
            <w:pPr>
              <w:pStyle w:val="a3"/>
              <w:ind w:left="0"/>
              <w:rPr>
                <w:rFonts w:ascii="Arial" w:hAnsi="Arial" w:cs="Arial"/>
                <w:sz w:val="20"/>
                <w:szCs w:val="20"/>
                <w:lang w:val="en-US"/>
              </w:rPr>
            </w:pPr>
            <w:r w:rsidRPr="00731910">
              <w:rPr>
                <w:rFonts w:ascii="Arial" w:hAnsi="Arial" w:cs="Arial"/>
                <w:sz w:val="20"/>
                <w:szCs w:val="20"/>
                <w:lang w:val="en-US"/>
              </w:rPr>
              <w:t>- possess the skills of analyzing socially significant problems and processes.</w:t>
            </w:r>
          </w:p>
        </w:tc>
      </w:tr>
    </w:tbl>
    <w:p w14:paraId="128B3039" w14:textId="77777777" w:rsidR="00A05504" w:rsidRPr="00731910" w:rsidRDefault="00A05504" w:rsidP="00A05504">
      <w:pPr>
        <w:pStyle w:val="a3"/>
        <w:rPr>
          <w:rFonts w:ascii="Arial" w:hAnsi="Arial" w:cs="Arial"/>
          <w:sz w:val="20"/>
          <w:szCs w:val="20"/>
          <w:lang w:val="en-US"/>
        </w:rPr>
      </w:pPr>
    </w:p>
    <w:p w14:paraId="46F09758" w14:textId="54A13271"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731910" w14:paraId="2085BD94" w14:textId="77777777" w:rsidTr="00102ACA">
        <w:trPr>
          <w:trHeight w:val="525"/>
        </w:trPr>
        <w:tc>
          <w:tcPr>
            <w:tcW w:w="9634" w:type="dxa"/>
          </w:tcPr>
          <w:p w14:paraId="779A2BCD" w14:textId="77777777" w:rsidR="00102ACA" w:rsidRPr="00731910" w:rsidRDefault="00102ACA" w:rsidP="00102ACA">
            <w:pPr>
              <w:rPr>
                <w:rFonts w:ascii="Arial" w:hAnsi="Arial" w:cs="Arial"/>
                <w:sz w:val="20"/>
                <w:szCs w:val="20"/>
                <w:lang w:val="en-US"/>
              </w:rPr>
            </w:pPr>
            <w:r w:rsidRPr="00731910">
              <w:rPr>
                <w:rFonts w:ascii="Arial" w:hAnsi="Arial" w:cs="Arial"/>
                <w:sz w:val="20"/>
                <w:szCs w:val="20"/>
                <w:lang w:val="en-US"/>
              </w:rPr>
              <w:t>lecture, seminar</w:t>
            </w:r>
          </w:p>
          <w:p w14:paraId="1D354ADD" w14:textId="77777777" w:rsidR="00A05504" w:rsidRPr="00731910" w:rsidRDefault="00A05504" w:rsidP="00100E73">
            <w:pPr>
              <w:pStyle w:val="a3"/>
              <w:ind w:left="0"/>
              <w:rPr>
                <w:rFonts w:ascii="Arial" w:hAnsi="Arial" w:cs="Arial"/>
                <w:sz w:val="20"/>
                <w:szCs w:val="20"/>
              </w:rPr>
            </w:pPr>
          </w:p>
        </w:tc>
      </w:tr>
    </w:tbl>
    <w:p w14:paraId="4718F177" w14:textId="77777777" w:rsidR="00A05504" w:rsidRPr="00731910" w:rsidRDefault="00A05504" w:rsidP="00A05504">
      <w:pPr>
        <w:pStyle w:val="a3"/>
        <w:rPr>
          <w:rFonts w:ascii="Arial" w:hAnsi="Arial" w:cs="Arial"/>
          <w:sz w:val="20"/>
          <w:szCs w:val="20"/>
          <w:lang w:val="en-US"/>
        </w:rPr>
      </w:pPr>
    </w:p>
    <w:p w14:paraId="56ABFEB4" w14:textId="03FE8B68"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731910" w14:paraId="36958F76" w14:textId="77777777" w:rsidTr="00801D3B">
        <w:trPr>
          <w:trHeight w:val="575"/>
        </w:trPr>
        <w:tc>
          <w:tcPr>
            <w:tcW w:w="9634" w:type="dxa"/>
          </w:tcPr>
          <w:p w14:paraId="5F896FDE" w14:textId="38FFE98C" w:rsidR="00A05504" w:rsidRPr="00731910" w:rsidRDefault="00731910" w:rsidP="00100E73">
            <w:pPr>
              <w:pStyle w:val="a3"/>
              <w:ind w:left="0"/>
              <w:rPr>
                <w:rFonts w:ascii="Arial" w:hAnsi="Arial" w:cs="Arial"/>
                <w:sz w:val="20"/>
                <w:szCs w:val="20"/>
                <w:lang w:val="en-US"/>
              </w:rPr>
            </w:pPr>
            <w:r>
              <w:rPr>
                <w:rFonts w:ascii="Arial" w:hAnsi="Arial" w:cs="Arial"/>
                <w:sz w:val="20"/>
                <w:szCs w:val="20"/>
                <w:lang w:val="en-US"/>
              </w:rPr>
              <w:t>Pass-fail test</w:t>
            </w:r>
          </w:p>
        </w:tc>
      </w:tr>
    </w:tbl>
    <w:p w14:paraId="5736B539" w14:textId="77777777" w:rsidR="00A05504" w:rsidRPr="00731910" w:rsidRDefault="00A05504" w:rsidP="00A05504">
      <w:pPr>
        <w:pStyle w:val="a3"/>
        <w:rPr>
          <w:rFonts w:ascii="Arial" w:hAnsi="Arial" w:cs="Arial"/>
          <w:sz w:val="20"/>
          <w:szCs w:val="20"/>
          <w:lang w:val="en-US"/>
        </w:rPr>
      </w:pPr>
    </w:p>
    <w:p w14:paraId="06A06E77" w14:textId="27CF9A11" w:rsidR="00A925C7" w:rsidRPr="00731910" w:rsidRDefault="00A925C7" w:rsidP="001D4092">
      <w:pPr>
        <w:pStyle w:val="a3"/>
        <w:numPr>
          <w:ilvl w:val="0"/>
          <w:numId w:val="1"/>
        </w:numPr>
        <w:rPr>
          <w:rFonts w:ascii="Arial" w:hAnsi="Arial" w:cs="Arial"/>
          <w:b/>
          <w:bCs/>
          <w:sz w:val="20"/>
          <w:szCs w:val="20"/>
          <w:lang w:val="en-US"/>
        </w:rPr>
      </w:pPr>
      <w:r w:rsidRPr="00731910">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731910" w14:paraId="3708B0FB" w14:textId="77777777" w:rsidTr="00731910">
        <w:trPr>
          <w:trHeight w:val="70"/>
        </w:trPr>
        <w:tc>
          <w:tcPr>
            <w:tcW w:w="9634" w:type="dxa"/>
          </w:tcPr>
          <w:p w14:paraId="373500BB" w14:textId="6BB731A0" w:rsidR="00801D3B" w:rsidRPr="00731910" w:rsidRDefault="00801D3B" w:rsidP="00801D3B">
            <w:pPr>
              <w:pStyle w:val="a3"/>
              <w:numPr>
                <w:ilvl w:val="0"/>
                <w:numId w:val="3"/>
              </w:numPr>
              <w:rPr>
                <w:rFonts w:ascii="Arial" w:hAnsi="Arial" w:cs="Arial"/>
                <w:sz w:val="20"/>
                <w:szCs w:val="20"/>
                <w:lang w:val="en-US"/>
              </w:rPr>
            </w:pPr>
            <w:r w:rsidRPr="00731910">
              <w:rPr>
                <w:rFonts w:ascii="Arial" w:hAnsi="Arial" w:cs="Arial"/>
                <w:sz w:val="20"/>
                <w:szCs w:val="20"/>
                <w:lang w:val="en-US"/>
              </w:rPr>
              <w:t xml:space="preserve">World history / G.B. Pole - 3rd ed., Revised. and add. - Moscow: Unity-Dana, 2015. - 887 p. </w:t>
            </w:r>
          </w:p>
          <w:p w14:paraId="0769E878" w14:textId="74AA352C" w:rsidR="00801D3B" w:rsidRPr="00731910" w:rsidRDefault="00801D3B" w:rsidP="00801D3B">
            <w:pPr>
              <w:pStyle w:val="a3"/>
              <w:numPr>
                <w:ilvl w:val="0"/>
                <w:numId w:val="3"/>
              </w:numPr>
              <w:rPr>
                <w:rFonts w:ascii="Arial" w:hAnsi="Arial" w:cs="Arial"/>
                <w:sz w:val="20"/>
                <w:szCs w:val="20"/>
                <w:lang w:val="en-US"/>
              </w:rPr>
            </w:pPr>
            <w:r w:rsidRPr="00731910">
              <w:rPr>
                <w:rFonts w:ascii="Arial" w:hAnsi="Arial" w:cs="Arial"/>
                <w:sz w:val="20"/>
                <w:szCs w:val="20"/>
                <w:lang w:val="en-US"/>
              </w:rPr>
              <w:t>Pareto V. Socialist systems / V. Pareto - Moscow: Direct-Media, 2007. - 131 p.</w:t>
            </w:r>
          </w:p>
          <w:p w14:paraId="0507F19B" w14:textId="1762229F" w:rsidR="00801D3B" w:rsidRPr="00731910" w:rsidRDefault="00801D3B" w:rsidP="00801D3B">
            <w:pPr>
              <w:pStyle w:val="a3"/>
              <w:numPr>
                <w:ilvl w:val="0"/>
                <w:numId w:val="3"/>
              </w:numPr>
              <w:rPr>
                <w:rFonts w:ascii="Arial" w:hAnsi="Arial" w:cs="Arial"/>
                <w:sz w:val="20"/>
                <w:szCs w:val="20"/>
                <w:lang w:val="en-US"/>
              </w:rPr>
            </w:pPr>
            <w:r w:rsidRPr="00731910">
              <w:rPr>
                <w:rFonts w:ascii="Arial" w:hAnsi="Arial" w:cs="Arial"/>
                <w:sz w:val="20"/>
                <w:szCs w:val="20"/>
                <w:lang w:val="en-US"/>
              </w:rPr>
              <w:t>History of state and law of foreign countries: a short course - Moscow: RIPOL classic, 2016. - 145 p.</w:t>
            </w:r>
          </w:p>
          <w:p w14:paraId="248FADBB" w14:textId="218453FF" w:rsidR="00A05504" w:rsidRPr="00731910" w:rsidRDefault="00A05504" w:rsidP="00100E73">
            <w:pPr>
              <w:pStyle w:val="a3"/>
              <w:ind w:left="0"/>
              <w:rPr>
                <w:rFonts w:ascii="Arial" w:hAnsi="Arial" w:cs="Arial"/>
                <w:sz w:val="20"/>
                <w:szCs w:val="20"/>
                <w:lang w:val="en-US"/>
              </w:rPr>
            </w:pPr>
          </w:p>
        </w:tc>
      </w:tr>
    </w:tbl>
    <w:p w14:paraId="240FE0EE" w14:textId="77777777" w:rsidR="00A925C7" w:rsidRPr="00731910" w:rsidRDefault="00A925C7" w:rsidP="00731910">
      <w:pPr>
        <w:rPr>
          <w:rFonts w:ascii="Arial" w:hAnsi="Arial" w:cs="Arial"/>
          <w:sz w:val="20"/>
          <w:szCs w:val="20"/>
          <w:lang w:val="en-US"/>
        </w:rPr>
      </w:pPr>
    </w:p>
    <w:sectPr w:rsidR="00A925C7" w:rsidRPr="0073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4329CA"/>
    <w:multiLevelType w:val="hybridMultilevel"/>
    <w:tmpl w:val="5262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F37630"/>
    <w:multiLevelType w:val="hybridMultilevel"/>
    <w:tmpl w:val="65D873F6"/>
    <w:lvl w:ilvl="0" w:tplc="C85E35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0"/>
  </w:num>
  <w:num w:numId="2" w16cid:durableId="398669343">
    <w:abstractNumId w:val="1"/>
  </w:num>
  <w:num w:numId="3" w16cid:durableId="1091897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D3793"/>
    <w:rsid w:val="00102ACA"/>
    <w:rsid w:val="00115BFF"/>
    <w:rsid w:val="001972CC"/>
    <w:rsid w:val="001D4092"/>
    <w:rsid w:val="002535AE"/>
    <w:rsid w:val="00257892"/>
    <w:rsid w:val="002E6CD5"/>
    <w:rsid w:val="00345E1C"/>
    <w:rsid w:val="003A3397"/>
    <w:rsid w:val="004036A6"/>
    <w:rsid w:val="004D5CB9"/>
    <w:rsid w:val="005616C4"/>
    <w:rsid w:val="00576AE4"/>
    <w:rsid w:val="005C2E6B"/>
    <w:rsid w:val="0063230C"/>
    <w:rsid w:val="006B5C54"/>
    <w:rsid w:val="00713C22"/>
    <w:rsid w:val="00731910"/>
    <w:rsid w:val="007654EA"/>
    <w:rsid w:val="00801D3B"/>
    <w:rsid w:val="0085212A"/>
    <w:rsid w:val="00994CB7"/>
    <w:rsid w:val="00997864"/>
    <w:rsid w:val="00A05504"/>
    <w:rsid w:val="00A05BE3"/>
    <w:rsid w:val="00A925C7"/>
    <w:rsid w:val="00B1381B"/>
    <w:rsid w:val="00BA5227"/>
    <w:rsid w:val="00BD2C0F"/>
    <w:rsid w:val="00D50EE1"/>
    <w:rsid w:val="00D55A4E"/>
    <w:rsid w:val="00D935FF"/>
    <w:rsid w:val="00E8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5227"/>
    <w:rPr>
      <w:color w:val="0563C1" w:themeColor="hyperlink"/>
      <w:u w:val="single"/>
    </w:rPr>
  </w:style>
  <w:style w:type="character" w:styleId="a6">
    <w:name w:val="Unresolved Mention"/>
    <w:basedOn w:val="a0"/>
    <w:uiPriority w:val="99"/>
    <w:semiHidden/>
    <w:unhideWhenUsed/>
    <w:rsid w:val="00BA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nikilaev@sfedu.ru" TargetMode="External"/><Relationship Id="rId3" Type="http://schemas.openxmlformats.org/officeDocument/2006/relationships/styles" Target="styles.xml"/><Relationship Id="rId7" Type="http://schemas.openxmlformats.org/officeDocument/2006/relationships/hyperlink" Target="mailto:avaveryanov@sfede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37</cp:revision>
  <dcterms:created xsi:type="dcterms:W3CDTF">2022-04-25T06:00:00Z</dcterms:created>
  <dcterms:modified xsi:type="dcterms:W3CDTF">2022-10-19T12:46:00Z</dcterms:modified>
</cp:coreProperties>
</file>